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p>
      <w:pPr>
        <w:jc w:val="center"/>
        <w:rPr>
          <w:rFonts w:hint="eastAsia" w:ascii="方正小标宋简体" w:hAnsi="黑体" w:eastAsia="方正小标宋简体"/>
          <w:sz w:val="44"/>
          <w:szCs w:val="44"/>
        </w:rPr>
      </w:pPr>
      <w:r>
        <w:rPr>
          <w:rFonts w:hint="eastAsia" w:ascii="方正小标宋简体" w:hAnsi="黑体" w:eastAsia="方正小标宋简体"/>
          <w:sz w:val="44"/>
          <w:szCs w:val="44"/>
          <w:lang w:val="en-US" w:eastAsia="zh-CN"/>
        </w:rPr>
        <w:t>供销合作社系统</w:t>
      </w:r>
      <w:r>
        <w:rPr>
          <w:rFonts w:hint="eastAsia" w:ascii="方正小标宋简体" w:hAnsi="黑体" w:eastAsia="方正小标宋简体"/>
          <w:sz w:val="44"/>
          <w:szCs w:val="44"/>
        </w:rPr>
        <w:t>资源专项清查报表</w:t>
      </w:r>
    </w:p>
    <w:p>
      <w:pPr>
        <w:jc w:val="center"/>
        <w:rPr>
          <w:rFonts w:ascii="方正小标宋简体" w:hAnsi="黑体" w:eastAsia="方正小标宋简体"/>
          <w:sz w:val="44"/>
          <w:szCs w:val="44"/>
        </w:rPr>
      </w:pPr>
      <w:r>
        <w:rPr>
          <w:rFonts w:hint="eastAsia" w:ascii="方正小标宋简体" w:hAnsi="黑体" w:eastAsia="方正小标宋简体"/>
          <w:sz w:val="44"/>
          <w:szCs w:val="44"/>
        </w:rPr>
        <w:t>填表说明</w:t>
      </w:r>
    </w:p>
    <w:p>
      <w:pPr>
        <w:jc w:val="center"/>
        <w:rPr>
          <w:rFonts w:hint="eastAsia" w:ascii="方正小标宋简体" w:hAnsi="黑体" w:eastAsia="方正小标宋简体"/>
          <w:sz w:val="44"/>
          <w:szCs w:val="44"/>
        </w:rPr>
      </w:pPr>
    </w:p>
    <w:p>
      <w:pPr>
        <w:rPr>
          <w:rFonts w:ascii="黑体" w:hAnsi="黑体" w:eastAsia="黑体"/>
        </w:rPr>
      </w:pPr>
      <w:r>
        <w:rPr>
          <w:rFonts w:hint="eastAsia" w:ascii="黑体" w:hAnsi="黑体" w:eastAsia="黑体"/>
        </w:rPr>
        <w:t>表一：基层供销合作社资产资源专项清查报表填表说明</w:t>
      </w:r>
    </w:p>
    <w:p>
      <w:pPr>
        <w:rPr>
          <w:rFonts w:ascii="仿宋" w:hAnsi="仿宋" w:eastAsia="仿宋"/>
        </w:rPr>
      </w:pPr>
      <w:r>
        <w:rPr>
          <w:rFonts w:hint="eastAsia" w:ascii="仿宋" w:hAnsi="仿宋" w:eastAsia="仿宋"/>
        </w:rPr>
        <w:t>1</w:t>
      </w:r>
      <w:r>
        <w:rPr>
          <w:rFonts w:ascii="仿宋" w:hAnsi="仿宋" w:eastAsia="仿宋"/>
        </w:rPr>
        <w:t>.</w:t>
      </w:r>
      <w:r>
        <w:rPr>
          <w:rFonts w:hint="eastAsia" w:ascii="仿宋" w:hAnsi="仿宋" w:eastAsia="仿宋"/>
        </w:rPr>
        <w:t>本表为基层社单户报表与县（市、区）社汇总报表统一格式。表头“填报单位”填列“xx县（市、区）供销合作社”或“xx市xx</w:t>
      </w:r>
      <w:r>
        <w:rPr>
          <w:rFonts w:hint="eastAsia" w:ascii="仿宋" w:hAnsi="仿宋" w:eastAsia="仿宋"/>
          <w:lang w:val="en-US" w:eastAsia="zh-CN"/>
        </w:rPr>
        <w:t>区</w:t>
      </w:r>
      <w:r>
        <w:rPr>
          <w:rFonts w:hint="eastAsia" w:ascii="仿宋" w:hAnsi="仿宋" w:eastAsia="仿宋"/>
        </w:rPr>
        <w:t>供销合作社</w:t>
      </w:r>
      <w:r>
        <w:rPr>
          <w:rFonts w:hint="eastAsia" w:ascii="仿宋" w:hAnsi="仿宋" w:eastAsia="仿宋"/>
          <w:lang w:eastAsia="zh-CN"/>
        </w:rPr>
        <w:t>（</w:t>
      </w:r>
      <w:r>
        <w:rPr>
          <w:rFonts w:hint="eastAsia" w:ascii="仿宋" w:hAnsi="仿宋" w:eastAsia="仿宋"/>
          <w:lang w:val="en-US" w:eastAsia="zh-CN"/>
        </w:rPr>
        <w:t>与其他部门合署</w:t>
      </w:r>
      <w:r>
        <w:rPr>
          <w:rFonts w:hint="eastAsia" w:ascii="仿宋" w:hAnsi="仿宋" w:eastAsia="仿宋"/>
          <w:lang w:eastAsia="zh-CN"/>
        </w:rPr>
        <w:t>）</w:t>
      </w:r>
      <w:r>
        <w:rPr>
          <w:rFonts w:hint="eastAsia" w:ascii="仿宋" w:hAnsi="仿宋" w:eastAsia="仿宋"/>
        </w:rPr>
        <w:t>”。</w:t>
      </w:r>
    </w:p>
    <w:p>
      <w:pPr>
        <w:rPr>
          <w:rFonts w:hint="eastAsia" w:ascii="仿宋" w:hAnsi="仿宋" w:eastAsia="仿宋"/>
        </w:rPr>
      </w:pPr>
      <w:r>
        <w:rPr>
          <w:rFonts w:hint="eastAsia" w:ascii="仿宋" w:hAnsi="仿宋" w:eastAsia="仿宋"/>
        </w:rPr>
        <w:t>各设区市社应当对所属县（市、区）社</w:t>
      </w:r>
      <w:r>
        <w:rPr>
          <w:rFonts w:hint="eastAsia" w:ascii="仿宋" w:hAnsi="仿宋" w:eastAsia="仿宋"/>
          <w:lang w:val="en-US" w:eastAsia="zh-CN"/>
        </w:rPr>
        <w:t>填报</w:t>
      </w:r>
      <w:r>
        <w:rPr>
          <w:rFonts w:hint="eastAsia" w:ascii="仿宋" w:hAnsi="仿宋" w:eastAsia="仿宋"/>
        </w:rPr>
        <w:t>的本表进行</w:t>
      </w:r>
      <w:r>
        <w:rPr>
          <w:rFonts w:hint="eastAsia" w:ascii="仿宋" w:hAnsi="仿宋" w:eastAsia="仿宋"/>
          <w:lang w:val="en-US" w:eastAsia="zh-CN"/>
        </w:rPr>
        <w:t>审核、</w:t>
      </w:r>
      <w:r>
        <w:rPr>
          <w:rFonts w:hint="eastAsia" w:ascii="仿宋" w:hAnsi="仿宋" w:eastAsia="仿宋"/>
        </w:rPr>
        <w:t>汇总</w:t>
      </w:r>
      <w:r>
        <w:rPr>
          <w:rFonts w:hint="eastAsia" w:ascii="仿宋" w:hAnsi="仿宋" w:eastAsia="仿宋"/>
          <w:lang w:eastAsia="zh-CN"/>
        </w:rPr>
        <w:t>，</w:t>
      </w:r>
      <w:r>
        <w:rPr>
          <w:rFonts w:hint="eastAsia" w:ascii="仿宋" w:hAnsi="仿宋" w:eastAsia="仿宋"/>
          <w:lang w:val="en-US" w:eastAsia="zh-CN"/>
        </w:rPr>
        <w:t>连同表二、表三、表四一并</w:t>
      </w:r>
      <w:r>
        <w:rPr>
          <w:rFonts w:hint="eastAsia" w:ascii="仿宋" w:hAnsi="仿宋" w:eastAsia="仿宋"/>
        </w:rPr>
        <w:t>报送省总社。</w:t>
      </w:r>
    </w:p>
    <w:p>
      <w:pPr>
        <w:rPr>
          <w:rFonts w:hint="eastAsia" w:ascii="仿宋" w:hAnsi="仿宋" w:eastAsia="仿宋"/>
        </w:rPr>
      </w:pPr>
      <w:r>
        <w:rPr>
          <w:rFonts w:hint="eastAsia" w:ascii="仿宋" w:hAnsi="仿宋" w:eastAsia="仿宋"/>
        </w:rPr>
        <w:t>2</w:t>
      </w:r>
      <w:r>
        <w:rPr>
          <w:rFonts w:ascii="仿宋" w:hAnsi="仿宋" w:eastAsia="仿宋"/>
        </w:rPr>
        <w:t>.</w:t>
      </w:r>
      <w:r>
        <w:rPr>
          <w:rFonts w:hint="eastAsia" w:ascii="仿宋" w:hAnsi="仿宋" w:eastAsia="仿宋"/>
        </w:rPr>
        <w:t>本表横行“填表单位（全称）”填列各单户基层社，由县（市、区）社依据乡镇区划调整最新的乡镇（或涉农街道）建制，原则上一个乡镇（或涉农街道）只填列一户。填表单位（全称）应当对基层社“一社一卡”管理平台录入户数进行分析调整、确认后填列，对于被撤并乡镇尚未注销或吊销营业执照的基层社</w:t>
      </w:r>
      <w:r>
        <w:rPr>
          <w:rFonts w:hint="eastAsia" w:ascii="仿宋" w:hAnsi="仿宋" w:eastAsia="仿宋"/>
          <w:lang w:eastAsia="zh-CN"/>
        </w:rPr>
        <w:t>，</w:t>
      </w:r>
      <w:r>
        <w:rPr>
          <w:rFonts w:hint="eastAsia" w:ascii="仿宋" w:hAnsi="仿宋" w:eastAsia="仿宋"/>
          <w:lang w:val="en-US" w:eastAsia="zh-CN"/>
        </w:rPr>
        <w:t>应当</w:t>
      </w:r>
      <w:r>
        <w:rPr>
          <w:rFonts w:hint="eastAsia" w:ascii="仿宋" w:hAnsi="仿宋" w:eastAsia="仿宋"/>
        </w:rPr>
        <w:t>并入新建制乡镇（或涉农街道）基层社填列（已经市场监管部门依法登记的村级供销合作社除外），非经市场监管部门登记的村级供销合作社及乡镇</w:t>
      </w:r>
      <w:r>
        <w:rPr>
          <w:rFonts w:hint="eastAsia" w:ascii="仿宋" w:hAnsi="仿宋" w:eastAsia="仿宋"/>
          <w:lang w:eastAsia="zh-CN"/>
        </w:rPr>
        <w:t>、</w:t>
      </w:r>
      <w:r>
        <w:rPr>
          <w:rFonts w:hint="eastAsia" w:ascii="仿宋" w:hAnsi="仿宋" w:eastAsia="仿宋"/>
        </w:rPr>
        <w:t>村为农服务综合体</w:t>
      </w:r>
      <w:r>
        <w:rPr>
          <w:rFonts w:hint="eastAsia" w:ascii="仿宋" w:hAnsi="仿宋" w:eastAsia="仿宋"/>
          <w:lang w:eastAsia="zh-CN"/>
        </w:rPr>
        <w:t>、</w:t>
      </w:r>
      <w:r>
        <w:rPr>
          <w:rFonts w:hint="eastAsia" w:ascii="仿宋" w:hAnsi="仿宋" w:eastAsia="仿宋"/>
          <w:lang w:val="en-US" w:eastAsia="zh-CN"/>
        </w:rPr>
        <w:t>经营服务</w:t>
      </w:r>
      <w:r>
        <w:rPr>
          <w:rFonts w:hint="eastAsia" w:ascii="仿宋" w:hAnsi="仿宋" w:eastAsia="仿宋"/>
        </w:rPr>
        <w:t>站点填列本表竖栏“经营服务网点数量”。</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p>
    <w:p>
      <w:pPr>
        <w:rPr>
          <w:rFonts w:hint="eastAsia" w:ascii="仿宋" w:hAnsi="仿宋" w:eastAsia="仿宋"/>
        </w:rPr>
      </w:pPr>
      <w:r>
        <w:rPr>
          <w:rFonts w:hint="eastAsia" w:ascii="仿宋" w:hAnsi="仿宋" w:eastAsia="仿宋"/>
        </w:rPr>
        <w:t>3</w:t>
      </w:r>
      <w:r>
        <w:rPr>
          <w:rFonts w:ascii="仿宋" w:hAnsi="仿宋" w:eastAsia="仿宋"/>
        </w:rPr>
        <w:t>.</w:t>
      </w:r>
      <w:r>
        <w:rPr>
          <w:rFonts w:hint="eastAsia" w:ascii="仿宋" w:hAnsi="仿宋" w:eastAsia="仿宋"/>
        </w:rPr>
        <w:t>本表竖栏“工商登记类型”分别填列供销合作社（集体企业）、有限公司、股份有限公司、其他（说明具体类型）。</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p>
    <w:p>
      <w:pPr>
        <w:rPr>
          <w:rFonts w:hint="eastAsia" w:ascii="仿宋" w:hAnsi="仿宋" w:eastAsia="仿宋"/>
        </w:rPr>
      </w:pPr>
      <w:r>
        <w:rPr>
          <w:rFonts w:hint="eastAsia" w:ascii="仿宋" w:hAnsi="仿宋" w:eastAsia="仿宋"/>
        </w:rPr>
        <w:t>4</w:t>
      </w:r>
      <w:r>
        <w:rPr>
          <w:rFonts w:ascii="仿宋" w:hAnsi="仿宋" w:eastAsia="仿宋"/>
        </w:rPr>
        <w:t>.</w:t>
      </w:r>
      <w:r>
        <w:rPr>
          <w:rFonts w:hint="eastAsia" w:ascii="仿宋" w:hAnsi="仿宋" w:eastAsia="仿宋"/>
        </w:rPr>
        <w:t>本表竖栏“隶属关系”分别填列县（市、区）供销合作社管理、乡镇（或涉农街道）管理。</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p>
    <w:p>
      <w:pPr>
        <w:rPr>
          <w:rFonts w:hint="eastAsia" w:ascii="仿宋" w:hAnsi="仿宋" w:eastAsia="仿宋"/>
        </w:rPr>
      </w:pPr>
      <w:r>
        <w:rPr>
          <w:rFonts w:hint="eastAsia" w:ascii="仿宋" w:hAnsi="仿宋" w:eastAsia="仿宋"/>
        </w:rPr>
        <w:t>5</w:t>
      </w:r>
      <w:r>
        <w:rPr>
          <w:rFonts w:ascii="仿宋" w:hAnsi="仿宋" w:eastAsia="仿宋"/>
        </w:rPr>
        <w:t>.</w:t>
      </w:r>
      <w:r>
        <w:rPr>
          <w:rFonts w:hint="eastAsia" w:ascii="仿宋" w:hAnsi="仿宋" w:eastAsia="仿宋"/>
        </w:rPr>
        <w:t>本表竖栏“营业状态”分别填列正常经营、列入经营异常名录、停业歇业、注销吊销营业执照、列入严重违法企业名录。</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ascii="仿宋" w:hAnsi="仿宋" w:eastAsia="仿宋"/>
        </w:rPr>
        <w:t xml:space="preserve">    </w:t>
      </w:r>
      <w:r>
        <w:rPr>
          <w:rFonts w:hint="eastAsia" w:ascii="仿宋" w:hAnsi="仿宋" w:eastAsia="仿宋"/>
        </w:rPr>
        <w:t>6</w:t>
      </w:r>
      <w:r>
        <w:rPr>
          <w:rFonts w:ascii="仿宋" w:hAnsi="仿宋" w:eastAsia="仿宋"/>
        </w:rPr>
        <w:t>.</w:t>
      </w:r>
      <w:r>
        <w:rPr>
          <w:rFonts w:hint="eastAsia" w:ascii="仿宋" w:hAnsi="仿宋" w:eastAsia="仿宋"/>
        </w:rPr>
        <w:t>本表竖栏“年末在职职工人数”中“劳动合同人数”填列签订劳动合同的年末在职职工人数；“其他”填列其他保留劳动关系停薪留职、“两不找”、内部退养等职工人数。</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p>
    <w:p>
      <w:pPr>
        <w:rPr>
          <w:rFonts w:hint="eastAsia" w:ascii="仿宋" w:hAnsi="仿宋" w:eastAsia="仿宋"/>
        </w:rPr>
      </w:pPr>
      <w:r>
        <w:rPr>
          <w:rFonts w:hint="eastAsia" w:ascii="仿宋" w:hAnsi="仿宋" w:eastAsia="仿宋"/>
        </w:rPr>
        <w:t>7</w:t>
      </w:r>
      <w:r>
        <w:rPr>
          <w:rFonts w:ascii="仿宋" w:hAnsi="仿宋" w:eastAsia="仿宋"/>
        </w:rPr>
        <w:t>.</w:t>
      </w:r>
      <w:r>
        <w:rPr>
          <w:rFonts w:hint="eastAsia" w:ascii="仿宋" w:hAnsi="仿宋" w:eastAsia="仿宋"/>
        </w:rPr>
        <w:t>本表竖栏“实际占有使用的房屋建筑物”</w:t>
      </w:r>
      <w:r>
        <w:rPr>
          <w:rFonts w:hint="eastAsia" w:ascii="仿宋" w:hAnsi="仿宋" w:eastAsia="仿宋"/>
          <w:lang w:val="en-US" w:eastAsia="zh-CN"/>
        </w:rPr>
        <w:t>栏</w:t>
      </w:r>
      <w:r>
        <w:rPr>
          <w:rFonts w:hint="eastAsia" w:ascii="微软雅黑" w:hAnsi="微软雅黑" w:eastAsia="微软雅黑" w:cs="微软雅黑"/>
          <w:lang w:val="en-US" w:eastAsia="zh-CN"/>
        </w:rPr>
        <w:t>=</w:t>
      </w:r>
      <w:r>
        <w:rPr>
          <w:rFonts w:hint="eastAsia" w:ascii="仿宋" w:hAnsi="仿宋" w:eastAsia="仿宋"/>
        </w:rPr>
        <w:t>“已使用”</w:t>
      </w:r>
      <w:r>
        <w:rPr>
          <w:rFonts w:hint="eastAsia" w:ascii="仿宋" w:hAnsi="仿宋" w:eastAsia="仿宋"/>
          <w:lang w:val="en-US" w:eastAsia="zh-CN"/>
        </w:rPr>
        <w:t>栏</w:t>
      </w:r>
      <w:r>
        <w:rPr>
          <w:rFonts w:hint="eastAsia" w:ascii="微软雅黑" w:hAnsi="微软雅黑" w:eastAsia="微软雅黑" w:cs="微软雅黑"/>
          <w:lang w:val="en-US" w:eastAsia="zh-CN"/>
        </w:rPr>
        <w:t>+</w:t>
      </w:r>
      <w:r>
        <w:rPr>
          <w:rFonts w:hint="eastAsia" w:ascii="仿宋" w:hAnsi="仿宋" w:eastAsia="仿宋"/>
          <w:lang w:val="en-US" w:eastAsia="zh-CN"/>
        </w:rPr>
        <w:t>“未使用”栏。“已使用”栏</w:t>
      </w:r>
      <w:r>
        <w:rPr>
          <w:rFonts w:hint="eastAsia" w:ascii="仿宋" w:hAnsi="仿宋" w:eastAsia="仿宋"/>
        </w:rPr>
        <w:t>分别填列自营、对外出租、发包经营</w:t>
      </w:r>
      <w:r>
        <w:rPr>
          <w:rFonts w:hint="eastAsia" w:ascii="仿宋" w:hAnsi="仿宋" w:eastAsia="仿宋"/>
          <w:lang w:eastAsia="zh-CN"/>
        </w:rPr>
        <w:t>（</w:t>
      </w:r>
      <w:r>
        <w:rPr>
          <w:rFonts w:hint="eastAsia" w:ascii="仿宋" w:hAnsi="仿宋" w:eastAsia="仿宋"/>
          <w:lang w:val="en-US" w:eastAsia="zh-CN"/>
        </w:rPr>
        <w:t>存在两种或三种情形的，在本单位名下增列横行填列</w:t>
      </w:r>
      <w:r>
        <w:rPr>
          <w:rFonts w:hint="eastAsia" w:ascii="仿宋" w:hAnsi="仿宋" w:eastAsia="仿宋"/>
          <w:lang w:eastAsia="zh-CN"/>
        </w:rPr>
        <w:t>）</w:t>
      </w:r>
      <w:r>
        <w:rPr>
          <w:rFonts w:hint="eastAsia" w:ascii="仿宋" w:hAnsi="仿宋" w:eastAsia="仿宋"/>
        </w:rPr>
        <w:t>；“未使用”</w:t>
      </w:r>
      <w:r>
        <w:rPr>
          <w:rFonts w:hint="eastAsia" w:ascii="仿宋" w:hAnsi="仿宋" w:eastAsia="仿宋"/>
          <w:lang w:val="en-US" w:eastAsia="zh-CN"/>
        </w:rPr>
        <w:t>栏</w:t>
      </w:r>
      <w:r>
        <w:rPr>
          <w:rFonts w:hint="eastAsia" w:ascii="仿宋" w:hAnsi="仿宋" w:eastAsia="仿宋"/>
        </w:rPr>
        <w:t>分别填列拥有产权（包括共有产权）被他人占用、产权不清（包括房产权和土地使用权分离）无法使用、失去使用价值待报废</w:t>
      </w:r>
      <w:r>
        <w:rPr>
          <w:rFonts w:hint="eastAsia" w:ascii="仿宋" w:hAnsi="仿宋" w:eastAsia="仿宋"/>
          <w:lang w:eastAsia="zh-CN"/>
        </w:rPr>
        <w:t>（</w:t>
      </w:r>
      <w:r>
        <w:rPr>
          <w:rFonts w:hint="eastAsia" w:ascii="仿宋" w:hAnsi="仿宋" w:eastAsia="仿宋"/>
          <w:lang w:val="en-US" w:eastAsia="zh-CN"/>
        </w:rPr>
        <w:t>存在两种或三种情形的，在本单位名下增列横行填列</w:t>
      </w:r>
      <w:r>
        <w:rPr>
          <w:rFonts w:hint="eastAsia" w:ascii="仿宋" w:hAnsi="仿宋" w:eastAsia="仿宋"/>
          <w:lang w:eastAsia="zh-CN"/>
        </w:rPr>
        <w:t>）</w:t>
      </w:r>
      <w:r>
        <w:rPr>
          <w:rFonts w:hint="eastAsia" w:ascii="仿宋" w:hAnsi="仿宋" w:eastAsia="仿宋"/>
        </w:rPr>
        <w:t>。</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p>
    <w:p>
      <w:pPr>
        <w:ind w:left="0" w:leftChars="0" w:firstLine="632" w:firstLineChars="200"/>
        <w:rPr>
          <w:rFonts w:hint="default" w:ascii="仿宋" w:hAnsi="仿宋" w:eastAsia="仿宋"/>
          <w:lang w:val="en-US" w:eastAsia="zh-CN"/>
        </w:rPr>
      </w:pPr>
      <w:r>
        <w:rPr>
          <w:rFonts w:hint="eastAsia" w:ascii="仿宋" w:hAnsi="仿宋" w:eastAsia="仿宋"/>
          <w:lang w:val="en-US" w:eastAsia="zh-CN"/>
        </w:rPr>
        <w:t>8</w:t>
      </w:r>
      <w:r>
        <w:rPr>
          <w:rFonts w:ascii="仿宋" w:hAnsi="仿宋" w:eastAsia="仿宋"/>
        </w:rPr>
        <w:t>.</w:t>
      </w:r>
      <w:r>
        <w:rPr>
          <w:rFonts w:hint="eastAsia" w:ascii="仿宋" w:hAnsi="仿宋" w:eastAsia="仿宋"/>
        </w:rPr>
        <w:t>本表竖栏</w:t>
      </w:r>
      <w:r>
        <w:rPr>
          <w:rFonts w:hint="eastAsia" w:ascii="仿宋" w:hAnsi="仿宋" w:eastAsia="仿宋"/>
          <w:lang w:eastAsia="zh-CN"/>
        </w:rPr>
        <w:t>“</w:t>
      </w:r>
      <w:r>
        <w:rPr>
          <w:rFonts w:hint="eastAsia" w:ascii="仿宋" w:hAnsi="仿宋" w:eastAsia="仿宋"/>
        </w:rPr>
        <w:t>实际占有使用的</w:t>
      </w:r>
      <w:r>
        <w:rPr>
          <w:rFonts w:hint="eastAsia" w:ascii="仿宋" w:hAnsi="仿宋" w:eastAsia="仿宋"/>
          <w:lang w:val="en-US" w:eastAsia="zh-CN"/>
        </w:rPr>
        <w:t>土地（财务账面未计价值）”中“土地总面积”栏</w:t>
      </w:r>
      <w:r>
        <w:rPr>
          <w:rFonts w:hint="eastAsia" w:ascii="微软雅黑" w:hAnsi="微软雅黑" w:eastAsia="微软雅黑" w:cs="微软雅黑"/>
          <w:lang w:val="en-US" w:eastAsia="zh-CN"/>
        </w:rPr>
        <w:t>=</w:t>
      </w:r>
      <w:r>
        <w:rPr>
          <w:rFonts w:hint="eastAsia" w:ascii="仿宋" w:hAnsi="仿宋" w:eastAsia="仿宋"/>
          <w:lang w:val="en-US" w:eastAsia="zh-CN"/>
        </w:rPr>
        <w:t>“已确权面积”栏</w:t>
      </w:r>
      <w:r>
        <w:rPr>
          <w:rFonts w:hint="eastAsia" w:ascii="微软雅黑" w:hAnsi="微软雅黑" w:eastAsia="微软雅黑" w:cs="微软雅黑"/>
          <w:lang w:val="en-US" w:eastAsia="zh-CN"/>
        </w:rPr>
        <w:t>+</w:t>
      </w:r>
      <w:r>
        <w:rPr>
          <w:rFonts w:hint="eastAsia" w:ascii="仿宋" w:hAnsi="仿宋" w:eastAsia="仿宋"/>
          <w:lang w:val="en-US" w:eastAsia="zh-CN"/>
        </w:rPr>
        <w:t>“权属不清尚未确权登记”栏</w:t>
      </w:r>
      <w:r>
        <w:rPr>
          <w:rFonts w:hint="eastAsia" w:ascii="微软雅黑" w:hAnsi="微软雅黑" w:eastAsia="微软雅黑" w:cs="微软雅黑"/>
          <w:lang w:val="en-US" w:eastAsia="zh-CN"/>
        </w:rPr>
        <w:t>+</w:t>
      </w:r>
      <w:r>
        <w:rPr>
          <w:rFonts w:hint="eastAsia" w:ascii="仿宋" w:hAnsi="仿宋" w:eastAsia="仿宋"/>
          <w:lang w:val="en-US" w:eastAsia="zh-CN"/>
        </w:rPr>
        <w:t>“权属不清及存在争议难于确权登记”栏。</w:t>
      </w:r>
    </w:p>
    <w:p>
      <w:pPr>
        <w:rPr>
          <w:rFonts w:hint="eastAsia" w:ascii="黑体" w:hAnsi="黑体" w:eastAsia="黑体"/>
        </w:rPr>
      </w:pPr>
    </w:p>
    <w:p>
      <w:pPr>
        <w:rPr>
          <w:rFonts w:ascii="黑体" w:hAnsi="黑体" w:eastAsia="黑体"/>
        </w:rPr>
      </w:pPr>
      <w:r>
        <w:rPr>
          <w:rFonts w:hint="eastAsia" w:ascii="黑体" w:hAnsi="黑体" w:eastAsia="黑体"/>
        </w:rPr>
        <w:t>表二：供销合作社资产资源专项清查报表填表说明</w:t>
      </w:r>
    </w:p>
    <w:p>
      <w:pPr>
        <w:rPr>
          <w:rFonts w:ascii="仿宋" w:hAnsi="仿宋" w:eastAsia="仿宋"/>
        </w:rPr>
      </w:pPr>
      <w:r>
        <w:rPr>
          <w:rFonts w:hint="eastAsia" w:ascii="仿宋" w:hAnsi="仿宋" w:eastAsia="仿宋"/>
        </w:rPr>
        <w:t>1</w:t>
      </w:r>
      <w:r>
        <w:rPr>
          <w:rFonts w:ascii="仿宋" w:hAnsi="仿宋" w:eastAsia="仿宋"/>
        </w:rPr>
        <w:t>.</w:t>
      </w:r>
      <w:r>
        <w:rPr>
          <w:rFonts w:hint="eastAsia" w:ascii="仿宋" w:hAnsi="仿宋" w:eastAsia="仿宋"/>
        </w:rPr>
        <w:t>本报表为县（市、区）社、设区市社单户报表与设区市社汇总报表统一格式。表头“填报单位”填列“xx设区市供销合作社”。</w:t>
      </w:r>
    </w:p>
    <w:p>
      <w:pPr>
        <w:rPr>
          <w:rFonts w:hint="eastAsia" w:ascii="仿宋" w:hAnsi="仿宋" w:eastAsia="仿宋"/>
        </w:rPr>
      </w:pPr>
      <w:r>
        <w:rPr>
          <w:rFonts w:hint="eastAsia" w:ascii="仿宋" w:hAnsi="仿宋" w:eastAsia="仿宋"/>
        </w:rPr>
        <w:t>2</w:t>
      </w:r>
      <w:r>
        <w:rPr>
          <w:rFonts w:ascii="仿宋" w:hAnsi="仿宋" w:eastAsia="仿宋"/>
        </w:rPr>
        <w:t>.</w:t>
      </w:r>
      <w:r>
        <w:rPr>
          <w:rFonts w:hint="eastAsia" w:ascii="仿宋" w:hAnsi="仿宋" w:eastAsia="仿宋"/>
        </w:rPr>
        <w:t>本表横行“填表单位（全称）”区分设区市供销合作社和县（市、区）供销合作社两类填列。</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p>
    <w:p>
      <w:pPr>
        <w:rPr>
          <w:rFonts w:ascii="仿宋" w:hAnsi="仿宋" w:eastAsia="仿宋"/>
        </w:rPr>
      </w:pPr>
      <w:r>
        <w:rPr>
          <w:rFonts w:ascii="仿宋" w:hAnsi="仿宋" w:eastAsia="仿宋"/>
        </w:rPr>
        <w:t>3.</w:t>
      </w:r>
      <w:r>
        <w:rPr>
          <w:rFonts w:hint="eastAsia" w:ascii="仿宋" w:hAnsi="仿宋" w:eastAsia="仿宋"/>
        </w:rPr>
        <w:t>本表竖栏“单位性质”分别填列事业单位（参公管理）、事业单位（全额拨款）、其他（请说明具体性质）；“单位登记机关”分别填列机构编制委员会办公室（事业单位登记管理局）、民政部门（社会组织管理局）、其他（请说明具体机关）。</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p>
    <w:p>
      <w:pPr>
        <w:rPr>
          <w:rFonts w:hint="eastAsia" w:ascii="仿宋" w:hAnsi="仿宋" w:eastAsia="仿宋"/>
        </w:rPr>
      </w:pPr>
      <w:r>
        <w:rPr>
          <w:rFonts w:hint="eastAsia" w:ascii="仿宋" w:hAnsi="仿宋" w:eastAsia="仿宋"/>
        </w:rPr>
        <w:t>4</w:t>
      </w:r>
      <w:r>
        <w:rPr>
          <w:rFonts w:ascii="仿宋" w:hAnsi="仿宋" w:eastAsia="仿宋"/>
        </w:rPr>
        <w:t>.</w:t>
      </w:r>
      <w:r>
        <w:rPr>
          <w:rFonts w:hint="eastAsia"/>
        </w:rPr>
        <w:t xml:space="preserve"> </w:t>
      </w:r>
      <w:r>
        <w:rPr>
          <w:rFonts w:hint="eastAsia" w:ascii="仿宋" w:hAnsi="仿宋" w:eastAsia="仿宋"/>
        </w:rPr>
        <w:t>本表竖栏“财务账面固定资产（含在建工程）”填列供销合作社所拥有或控制的全部经营性资产，不填列供销合作社机关财政拨款形成的资产及所属事业单位的资产。</w:t>
      </w:r>
    </w:p>
    <w:p>
      <w:pPr>
        <w:rPr>
          <w:rFonts w:hint="eastAsia" w:ascii="仿宋" w:hAnsi="仿宋" w:eastAsia="仿宋"/>
        </w:rPr>
      </w:pPr>
      <w:r>
        <w:rPr>
          <w:rFonts w:hint="eastAsia" w:ascii="仿宋" w:hAnsi="仿宋" w:eastAsia="仿宋"/>
        </w:rPr>
        <w:t>5</w:t>
      </w:r>
      <w:r>
        <w:rPr>
          <w:rFonts w:ascii="仿宋" w:hAnsi="仿宋" w:eastAsia="仿宋"/>
        </w:rPr>
        <w:t>.</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本表竖栏“实际占有使用的房屋建筑物”</w:t>
      </w:r>
      <w:r>
        <w:rPr>
          <w:rFonts w:hint="eastAsia" w:ascii="仿宋" w:hAnsi="仿宋" w:eastAsia="仿宋"/>
          <w:lang w:val="en-US" w:eastAsia="zh-CN"/>
        </w:rPr>
        <w:t>栏</w:t>
      </w:r>
      <w:r>
        <w:rPr>
          <w:rFonts w:hint="eastAsia" w:ascii="微软雅黑" w:hAnsi="微软雅黑" w:eastAsia="微软雅黑" w:cs="微软雅黑"/>
          <w:lang w:val="en-US" w:eastAsia="zh-CN"/>
        </w:rPr>
        <w:t>=</w:t>
      </w:r>
      <w:r>
        <w:rPr>
          <w:rFonts w:hint="eastAsia" w:ascii="仿宋" w:hAnsi="仿宋" w:eastAsia="仿宋"/>
        </w:rPr>
        <w:t>“已使用”</w:t>
      </w:r>
      <w:r>
        <w:rPr>
          <w:rFonts w:hint="eastAsia" w:ascii="仿宋" w:hAnsi="仿宋" w:eastAsia="仿宋"/>
          <w:lang w:val="en-US" w:eastAsia="zh-CN"/>
        </w:rPr>
        <w:t>栏</w:t>
      </w:r>
      <w:r>
        <w:rPr>
          <w:rFonts w:hint="eastAsia" w:ascii="微软雅黑" w:hAnsi="微软雅黑" w:eastAsia="微软雅黑" w:cs="微软雅黑"/>
          <w:lang w:val="en-US" w:eastAsia="zh-CN"/>
        </w:rPr>
        <w:t>+</w:t>
      </w:r>
      <w:r>
        <w:rPr>
          <w:rFonts w:hint="eastAsia" w:ascii="仿宋" w:hAnsi="仿宋" w:eastAsia="仿宋"/>
          <w:lang w:val="en-US" w:eastAsia="zh-CN"/>
        </w:rPr>
        <w:t>“未使用”栏。“已使用”栏</w:t>
      </w:r>
      <w:r>
        <w:rPr>
          <w:rFonts w:hint="eastAsia" w:ascii="仿宋" w:hAnsi="仿宋" w:eastAsia="仿宋"/>
        </w:rPr>
        <w:t>分别填列自营、对外出租、发包经营</w:t>
      </w:r>
      <w:r>
        <w:rPr>
          <w:rFonts w:hint="eastAsia" w:ascii="仿宋" w:hAnsi="仿宋" w:eastAsia="仿宋"/>
          <w:lang w:eastAsia="zh-CN"/>
        </w:rPr>
        <w:t>（</w:t>
      </w:r>
      <w:r>
        <w:rPr>
          <w:rFonts w:hint="eastAsia" w:ascii="仿宋" w:hAnsi="仿宋" w:eastAsia="仿宋"/>
          <w:lang w:val="en-US" w:eastAsia="zh-CN"/>
        </w:rPr>
        <w:t>存在两种或三种情形的，在本单位名下增列横行填列</w:t>
      </w:r>
      <w:r>
        <w:rPr>
          <w:rFonts w:hint="eastAsia" w:ascii="仿宋" w:hAnsi="仿宋" w:eastAsia="仿宋"/>
          <w:lang w:eastAsia="zh-CN"/>
        </w:rPr>
        <w:t>）</w:t>
      </w:r>
      <w:r>
        <w:rPr>
          <w:rFonts w:hint="eastAsia" w:ascii="仿宋" w:hAnsi="仿宋" w:eastAsia="仿宋"/>
        </w:rPr>
        <w:t>；“未使用”</w:t>
      </w:r>
      <w:r>
        <w:rPr>
          <w:rFonts w:hint="eastAsia" w:ascii="仿宋" w:hAnsi="仿宋" w:eastAsia="仿宋"/>
          <w:lang w:val="en-US" w:eastAsia="zh-CN"/>
        </w:rPr>
        <w:t>栏</w:t>
      </w:r>
      <w:r>
        <w:rPr>
          <w:rFonts w:hint="eastAsia" w:ascii="仿宋" w:hAnsi="仿宋" w:eastAsia="仿宋"/>
        </w:rPr>
        <w:t>分别填列拥有产权（包括共有产权）被他人占用、产权不清（包括房产权和土地使用权分离）无法使用、失去使用价值待报废</w:t>
      </w:r>
      <w:r>
        <w:rPr>
          <w:rFonts w:hint="eastAsia" w:ascii="仿宋" w:hAnsi="仿宋" w:eastAsia="仿宋"/>
          <w:lang w:eastAsia="zh-CN"/>
        </w:rPr>
        <w:t>（</w:t>
      </w:r>
      <w:r>
        <w:rPr>
          <w:rFonts w:hint="eastAsia" w:ascii="仿宋" w:hAnsi="仿宋" w:eastAsia="仿宋"/>
          <w:lang w:val="en-US" w:eastAsia="zh-CN"/>
        </w:rPr>
        <w:t>存在两种或三种情形的，在本单位名下增列横行填列</w:t>
      </w:r>
      <w:r>
        <w:rPr>
          <w:rFonts w:hint="eastAsia" w:ascii="仿宋" w:hAnsi="仿宋" w:eastAsia="仿宋"/>
          <w:lang w:eastAsia="zh-CN"/>
        </w:rPr>
        <w:t>）</w:t>
      </w:r>
      <w:r>
        <w:rPr>
          <w:rFonts w:hint="eastAsia" w:ascii="仿宋" w:hAnsi="仿宋" w:eastAsia="仿宋"/>
        </w:rPr>
        <w:t>。</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p>
    <w:p>
      <w:pPr>
        <w:ind w:left="0" w:leftChars="0" w:firstLine="632" w:firstLineChars="200"/>
        <w:rPr>
          <w:rFonts w:hint="default" w:ascii="仿宋" w:hAnsi="仿宋" w:eastAsia="仿宋"/>
          <w:lang w:val="en-US" w:eastAsia="zh-CN"/>
        </w:rPr>
      </w:pPr>
      <w:r>
        <w:rPr>
          <w:rFonts w:hint="eastAsia" w:ascii="仿宋" w:hAnsi="仿宋" w:eastAsia="仿宋"/>
          <w:lang w:val="en-US" w:eastAsia="zh-CN"/>
        </w:rPr>
        <w:t>6</w:t>
      </w:r>
      <w:r>
        <w:rPr>
          <w:rFonts w:ascii="仿宋" w:hAnsi="仿宋" w:eastAsia="仿宋"/>
        </w:rPr>
        <w:t>.</w:t>
      </w:r>
      <w:r>
        <w:rPr>
          <w:rFonts w:hint="eastAsia" w:ascii="仿宋" w:hAnsi="仿宋" w:eastAsia="仿宋"/>
        </w:rPr>
        <w:t>本表竖栏</w:t>
      </w:r>
      <w:r>
        <w:rPr>
          <w:rFonts w:hint="eastAsia" w:ascii="仿宋" w:hAnsi="仿宋" w:eastAsia="仿宋"/>
          <w:lang w:eastAsia="zh-CN"/>
        </w:rPr>
        <w:t>“</w:t>
      </w:r>
      <w:r>
        <w:rPr>
          <w:rFonts w:hint="eastAsia" w:ascii="仿宋" w:hAnsi="仿宋" w:eastAsia="仿宋"/>
        </w:rPr>
        <w:t>实际占有使用的</w:t>
      </w:r>
      <w:r>
        <w:rPr>
          <w:rFonts w:hint="eastAsia" w:ascii="仿宋" w:hAnsi="仿宋" w:eastAsia="仿宋"/>
          <w:lang w:val="en-US" w:eastAsia="zh-CN"/>
        </w:rPr>
        <w:t>土地（财务账面未计价值）”中“土地总面积”栏</w:t>
      </w:r>
      <w:r>
        <w:rPr>
          <w:rFonts w:hint="eastAsia" w:ascii="微软雅黑" w:hAnsi="微软雅黑" w:eastAsia="微软雅黑" w:cs="微软雅黑"/>
          <w:lang w:val="en-US" w:eastAsia="zh-CN"/>
        </w:rPr>
        <w:t>=</w:t>
      </w:r>
      <w:r>
        <w:rPr>
          <w:rFonts w:hint="eastAsia" w:ascii="仿宋" w:hAnsi="仿宋" w:eastAsia="仿宋"/>
          <w:lang w:val="en-US" w:eastAsia="zh-CN"/>
        </w:rPr>
        <w:t>“已确权面积”栏</w:t>
      </w:r>
      <w:r>
        <w:rPr>
          <w:rFonts w:hint="eastAsia" w:ascii="微软雅黑" w:hAnsi="微软雅黑" w:eastAsia="微软雅黑" w:cs="微软雅黑"/>
          <w:lang w:val="en-US" w:eastAsia="zh-CN"/>
        </w:rPr>
        <w:t>+</w:t>
      </w:r>
      <w:r>
        <w:rPr>
          <w:rFonts w:hint="eastAsia" w:ascii="仿宋" w:hAnsi="仿宋" w:eastAsia="仿宋"/>
          <w:lang w:val="en-US" w:eastAsia="zh-CN"/>
        </w:rPr>
        <w:t>“权属不清尚未确权登记”栏</w:t>
      </w:r>
      <w:r>
        <w:rPr>
          <w:rFonts w:hint="eastAsia" w:ascii="微软雅黑" w:hAnsi="微软雅黑" w:eastAsia="微软雅黑" w:cs="微软雅黑"/>
          <w:lang w:val="en-US" w:eastAsia="zh-CN"/>
        </w:rPr>
        <w:t>+</w:t>
      </w:r>
      <w:r>
        <w:rPr>
          <w:rFonts w:hint="eastAsia" w:ascii="仿宋" w:hAnsi="仿宋" w:eastAsia="仿宋"/>
          <w:lang w:val="en-US" w:eastAsia="zh-CN"/>
        </w:rPr>
        <w:t>“权属不清及存在争议难于确权登记”栏。</w:t>
      </w:r>
    </w:p>
    <w:p>
      <w:pPr>
        <w:rPr>
          <w:rFonts w:ascii="仿宋" w:hAnsi="仿宋" w:eastAsia="仿宋"/>
        </w:rPr>
      </w:pPr>
    </w:p>
    <w:p>
      <w:pPr>
        <w:rPr>
          <w:rFonts w:ascii="黑体" w:hAnsi="黑体" w:eastAsia="黑体"/>
        </w:rPr>
      </w:pPr>
      <w:r>
        <w:rPr>
          <w:rFonts w:hint="eastAsia" w:ascii="黑体" w:hAnsi="黑体" w:eastAsia="黑体"/>
        </w:rPr>
        <w:t>表三：社有企业资产资源专项清查报表填表说明</w:t>
      </w:r>
    </w:p>
    <w:p>
      <w:pPr>
        <w:rPr>
          <w:rFonts w:ascii="仿宋" w:hAnsi="仿宋" w:eastAsia="仿宋"/>
        </w:rPr>
      </w:pPr>
      <w:r>
        <w:rPr>
          <w:rFonts w:hint="eastAsia" w:ascii="仿宋" w:hAnsi="仿宋" w:eastAsia="仿宋"/>
        </w:rPr>
        <w:t>1</w:t>
      </w:r>
      <w:r>
        <w:rPr>
          <w:rFonts w:ascii="仿宋" w:hAnsi="仿宋" w:eastAsia="仿宋"/>
        </w:rPr>
        <w:t>.</w:t>
      </w:r>
      <w:r>
        <w:rPr>
          <w:rFonts w:hint="eastAsia" w:ascii="仿宋" w:hAnsi="仿宋" w:eastAsia="仿宋"/>
        </w:rPr>
        <w:t>本报表为社有企业单户报表与汇总报表统一格式。表头“填报单位”填列“xx设区市供销合作社”。</w:t>
      </w:r>
    </w:p>
    <w:p>
      <w:pPr>
        <w:ind w:firstLine="632" w:firstLineChars="200"/>
        <w:jc w:val="left"/>
        <w:rPr>
          <w:rFonts w:hint="eastAsia" w:ascii="仿宋" w:hAnsi="仿宋" w:eastAsia="仿宋"/>
        </w:rPr>
      </w:pPr>
      <w:r>
        <w:rPr>
          <w:rFonts w:hint="eastAsia" w:ascii="仿宋" w:hAnsi="仿宋" w:eastAsia="仿宋"/>
        </w:rPr>
        <w:t>2</w:t>
      </w:r>
      <w:r>
        <w:rPr>
          <w:rFonts w:ascii="仿宋" w:hAnsi="仿宋" w:eastAsia="仿宋"/>
        </w:rPr>
        <w:t>.</w:t>
      </w:r>
      <w:r>
        <w:rPr>
          <w:rFonts w:hint="eastAsia" w:ascii="仿宋" w:hAnsi="仿宋" w:eastAsia="仿宋"/>
        </w:rPr>
        <w:t>本表横行“填表单位（全称）”区分设区市供销合作社属社有企业和县（市、区）供销合作社属社有企业两类，</w:t>
      </w:r>
      <w:r>
        <w:rPr>
          <w:rFonts w:hint="eastAsia" w:ascii="仿宋" w:hAnsi="仿宋" w:eastAsia="仿宋"/>
        </w:rPr>
        <w:tab/>
      </w:r>
      <w:r>
        <w:rPr>
          <w:rFonts w:hint="eastAsia" w:ascii="仿宋" w:hAnsi="仿宋" w:eastAsia="仿宋"/>
        </w:rPr>
        <w:t>以具有法人地位、独立核算的企业为单位填列。填表范围</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包括供销合作社独资企业、独资（全资）公司、控股公司和实际控制企业（暂定为供销合作社</w:t>
      </w:r>
      <w:r>
        <w:rPr>
          <w:rFonts w:hint="eastAsia" w:ascii="仿宋" w:hAnsi="仿宋" w:eastAsia="仿宋"/>
          <w:lang w:val="en-US" w:eastAsia="zh-CN"/>
        </w:rPr>
        <w:t>持股比例未超过50%，但</w:t>
      </w:r>
      <w:bookmarkStart w:id="0" w:name="_GoBack"/>
      <w:bookmarkEnd w:id="0"/>
      <w:r>
        <w:rPr>
          <w:rFonts w:hint="eastAsia" w:ascii="仿宋" w:hAnsi="仿宋" w:eastAsia="仿宋"/>
          <w:lang w:val="en-US" w:eastAsia="zh-CN"/>
        </w:rPr>
        <w:t xml:space="preserve">为第一大股东 </w:t>
      </w:r>
      <w:r>
        <w:rPr>
          <w:rFonts w:hint="eastAsia" w:ascii="仿宋" w:hAnsi="仿宋" w:eastAsia="仿宋"/>
        </w:rPr>
        <w:t>且能够控制或对经营决策施加重大影响的企业），供销合作社、社有企业参股不具实际控制地位的企业不填列。</w:t>
      </w:r>
    </w:p>
    <w:p>
      <w:pPr>
        <w:jc w:val="left"/>
        <w:rPr>
          <w:rFonts w:hint="eastAsia" w:ascii="仿宋" w:hAnsi="仿宋" w:eastAsia="仿宋"/>
        </w:rPr>
      </w:pPr>
      <w:r>
        <w:rPr>
          <w:rFonts w:hint="eastAsia" w:ascii="仿宋" w:hAnsi="仿宋" w:eastAsia="仿宋"/>
        </w:rPr>
        <w:t>3</w:t>
      </w:r>
      <w:r>
        <w:rPr>
          <w:rFonts w:ascii="仿宋" w:hAnsi="仿宋" w:eastAsia="仿宋"/>
        </w:rPr>
        <w:t>.</w:t>
      </w:r>
      <w:r>
        <w:rPr>
          <w:rFonts w:hint="eastAsia" w:ascii="仿宋" w:hAnsi="仿宋" w:eastAsia="仿宋"/>
        </w:rPr>
        <w:t>本表竖栏“工商登记类型”分别填列未完成公司制改制企业、有限公司、股份有限公司、其他（说明具体类型）；“注册资本”按认缴资本制填列；“营业状态”分别填列正常经营、列入经营异常名录、停业歇业、注销吊销营业执照、列入严重违法企业名录。</w:t>
      </w:r>
    </w:p>
    <w:p>
      <w:pPr>
        <w:rPr>
          <w:rFonts w:hint="eastAsia" w:ascii="仿宋" w:hAnsi="仿宋" w:eastAsia="仿宋"/>
        </w:rPr>
      </w:pPr>
      <w:r>
        <w:rPr>
          <w:rFonts w:hint="eastAsia" w:ascii="仿宋" w:hAnsi="仿宋" w:eastAsia="仿宋"/>
        </w:rPr>
        <w:t>4</w:t>
      </w:r>
      <w:r>
        <w:rPr>
          <w:rFonts w:ascii="仿宋" w:hAnsi="仿宋" w:eastAsia="仿宋"/>
        </w:rPr>
        <w:t>.</w:t>
      </w:r>
      <w:r>
        <w:rPr>
          <w:rFonts w:hint="eastAsia" w:ascii="仿宋" w:hAnsi="仿宋" w:eastAsia="仿宋"/>
        </w:rPr>
        <w:t xml:space="preserve"> 本表竖栏“实际占有使用的房屋建筑物”</w:t>
      </w:r>
      <w:r>
        <w:rPr>
          <w:rFonts w:hint="eastAsia" w:ascii="仿宋" w:hAnsi="仿宋" w:eastAsia="仿宋"/>
          <w:lang w:val="en-US" w:eastAsia="zh-CN"/>
        </w:rPr>
        <w:t>栏</w:t>
      </w:r>
      <w:r>
        <w:rPr>
          <w:rFonts w:hint="eastAsia" w:ascii="微软雅黑" w:hAnsi="微软雅黑" w:eastAsia="微软雅黑" w:cs="微软雅黑"/>
          <w:lang w:val="en-US" w:eastAsia="zh-CN"/>
        </w:rPr>
        <w:t>=</w:t>
      </w:r>
      <w:r>
        <w:rPr>
          <w:rFonts w:hint="eastAsia" w:ascii="仿宋" w:hAnsi="仿宋" w:eastAsia="仿宋"/>
        </w:rPr>
        <w:t>“已使用”</w:t>
      </w:r>
      <w:r>
        <w:rPr>
          <w:rFonts w:hint="eastAsia" w:ascii="仿宋" w:hAnsi="仿宋" w:eastAsia="仿宋"/>
          <w:lang w:val="en-US" w:eastAsia="zh-CN"/>
        </w:rPr>
        <w:t>栏</w:t>
      </w:r>
      <w:r>
        <w:rPr>
          <w:rFonts w:hint="eastAsia" w:ascii="微软雅黑" w:hAnsi="微软雅黑" w:eastAsia="微软雅黑" w:cs="微软雅黑"/>
          <w:lang w:val="en-US" w:eastAsia="zh-CN"/>
        </w:rPr>
        <w:t>+</w:t>
      </w:r>
      <w:r>
        <w:rPr>
          <w:rFonts w:hint="eastAsia" w:ascii="仿宋" w:hAnsi="仿宋" w:eastAsia="仿宋"/>
          <w:lang w:val="en-US" w:eastAsia="zh-CN"/>
        </w:rPr>
        <w:t>“未使用”栏。“已使用”栏</w:t>
      </w:r>
      <w:r>
        <w:rPr>
          <w:rFonts w:hint="eastAsia" w:ascii="仿宋" w:hAnsi="仿宋" w:eastAsia="仿宋"/>
        </w:rPr>
        <w:t>分别填列自营、对外出租、发包经营</w:t>
      </w:r>
      <w:r>
        <w:rPr>
          <w:rFonts w:hint="eastAsia" w:ascii="仿宋" w:hAnsi="仿宋" w:eastAsia="仿宋"/>
          <w:lang w:eastAsia="zh-CN"/>
        </w:rPr>
        <w:t>（</w:t>
      </w:r>
      <w:r>
        <w:rPr>
          <w:rFonts w:hint="eastAsia" w:ascii="仿宋" w:hAnsi="仿宋" w:eastAsia="仿宋"/>
          <w:lang w:val="en-US" w:eastAsia="zh-CN"/>
        </w:rPr>
        <w:t>存在两种或三种情形的，在本单位名下增列横行填列</w:t>
      </w:r>
      <w:r>
        <w:rPr>
          <w:rFonts w:hint="eastAsia" w:ascii="仿宋" w:hAnsi="仿宋" w:eastAsia="仿宋"/>
          <w:lang w:eastAsia="zh-CN"/>
        </w:rPr>
        <w:t>）</w:t>
      </w:r>
      <w:r>
        <w:rPr>
          <w:rFonts w:hint="eastAsia" w:ascii="仿宋" w:hAnsi="仿宋" w:eastAsia="仿宋"/>
        </w:rPr>
        <w:t>；“未使用”</w:t>
      </w:r>
      <w:r>
        <w:rPr>
          <w:rFonts w:hint="eastAsia" w:ascii="仿宋" w:hAnsi="仿宋" w:eastAsia="仿宋"/>
          <w:lang w:val="en-US" w:eastAsia="zh-CN"/>
        </w:rPr>
        <w:t>栏</w:t>
      </w:r>
      <w:r>
        <w:rPr>
          <w:rFonts w:hint="eastAsia" w:ascii="仿宋" w:hAnsi="仿宋" w:eastAsia="仿宋"/>
        </w:rPr>
        <w:t>分别填列拥有产权（包括共有产权）被他人占用、产权不清（包括房产权和土地使用权分离）无法使用、失去使用价值待报废</w:t>
      </w:r>
      <w:r>
        <w:rPr>
          <w:rFonts w:hint="eastAsia" w:ascii="仿宋" w:hAnsi="仿宋" w:eastAsia="仿宋"/>
          <w:lang w:eastAsia="zh-CN"/>
        </w:rPr>
        <w:t>（</w:t>
      </w:r>
      <w:r>
        <w:rPr>
          <w:rFonts w:hint="eastAsia" w:ascii="仿宋" w:hAnsi="仿宋" w:eastAsia="仿宋"/>
          <w:lang w:val="en-US" w:eastAsia="zh-CN"/>
        </w:rPr>
        <w:t>存在两种或三种情形的，在本单位名下增列横行填列</w:t>
      </w:r>
      <w:r>
        <w:rPr>
          <w:rFonts w:hint="eastAsia" w:ascii="仿宋" w:hAnsi="仿宋" w:eastAsia="仿宋"/>
          <w:lang w:eastAsia="zh-CN"/>
        </w:rPr>
        <w:t>）</w:t>
      </w:r>
      <w:r>
        <w:rPr>
          <w:rFonts w:hint="eastAsia" w:ascii="仿宋" w:hAnsi="仿宋" w:eastAsia="仿宋"/>
        </w:rPr>
        <w:t>。</w:t>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r>
        <w:rPr>
          <w:rFonts w:hint="eastAsia" w:ascii="仿宋" w:hAnsi="仿宋" w:eastAsia="仿宋"/>
        </w:rPr>
        <w:tab/>
      </w:r>
    </w:p>
    <w:p>
      <w:pPr>
        <w:ind w:left="0" w:leftChars="0" w:firstLine="632" w:firstLineChars="200"/>
        <w:rPr>
          <w:rFonts w:ascii="仿宋" w:hAnsi="仿宋" w:eastAsia="仿宋"/>
        </w:rPr>
      </w:pPr>
      <w:r>
        <w:rPr>
          <w:rFonts w:hint="eastAsia" w:ascii="仿宋" w:hAnsi="仿宋" w:eastAsia="仿宋"/>
          <w:lang w:val="en-US" w:eastAsia="zh-CN"/>
        </w:rPr>
        <w:t>5</w:t>
      </w:r>
      <w:r>
        <w:rPr>
          <w:rFonts w:ascii="仿宋" w:hAnsi="仿宋" w:eastAsia="仿宋"/>
        </w:rPr>
        <w:t>.</w:t>
      </w:r>
      <w:r>
        <w:rPr>
          <w:rFonts w:hint="eastAsia" w:ascii="仿宋" w:hAnsi="仿宋" w:eastAsia="仿宋"/>
        </w:rPr>
        <w:t>本表竖栏</w:t>
      </w:r>
      <w:r>
        <w:rPr>
          <w:rFonts w:hint="eastAsia" w:ascii="仿宋" w:hAnsi="仿宋" w:eastAsia="仿宋"/>
          <w:lang w:eastAsia="zh-CN"/>
        </w:rPr>
        <w:t>“</w:t>
      </w:r>
      <w:r>
        <w:rPr>
          <w:rFonts w:hint="eastAsia" w:ascii="仿宋" w:hAnsi="仿宋" w:eastAsia="仿宋"/>
        </w:rPr>
        <w:t>实际占有使用的</w:t>
      </w:r>
      <w:r>
        <w:rPr>
          <w:rFonts w:hint="eastAsia" w:ascii="仿宋" w:hAnsi="仿宋" w:eastAsia="仿宋"/>
          <w:lang w:val="en-US" w:eastAsia="zh-CN"/>
        </w:rPr>
        <w:t>土地（财务账面未计价值）”中“土地总面积”栏</w:t>
      </w:r>
      <w:r>
        <w:rPr>
          <w:rFonts w:hint="eastAsia" w:ascii="微软雅黑" w:hAnsi="微软雅黑" w:eastAsia="微软雅黑" w:cs="微软雅黑"/>
          <w:lang w:val="en-US" w:eastAsia="zh-CN"/>
        </w:rPr>
        <w:t>=</w:t>
      </w:r>
      <w:r>
        <w:rPr>
          <w:rFonts w:hint="eastAsia" w:ascii="仿宋" w:hAnsi="仿宋" w:eastAsia="仿宋"/>
          <w:lang w:val="en-US" w:eastAsia="zh-CN"/>
        </w:rPr>
        <w:t>“已确权面积”栏</w:t>
      </w:r>
      <w:r>
        <w:rPr>
          <w:rFonts w:hint="eastAsia" w:ascii="微软雅黑" w:hAnsi="微软雅黑" w:eastAsia="微软雅黑" w:cs="微软雅黑"/>
          <w:lang w:val="en-US" w:eastAsia="zh-CN"/>
        </w:rPr>
        <w:t>+</w:t>
      </w:r>
      <w:r>
        <w:rPr>
          <w:rFonts w:hint="eastAsia" w:ascii="仿宋" w:hAnsi="仿宋" w:eastAsia="仿宋"/>
          <w:lang w:val="en-US" w:eastAsia="zh-CN"/>
        </w:rPr>
        <w:t>“权属不清尚未确权登记”栏</w:t>
      </w:r>
      <w:r>
        <w:rPr>
          <w:rFonts w:hint="eastAsia" w:ascii="微软雅黑" w:hAnsi="微软雅黑" w:eastAsia="微软雅黑" w:cs="微软雅黑"/>
          <w:lang w:val="en-US" w:eastAsia="zh-CN"/>
        </w:rPr>
        <w:t>+</w:t>
      </w:r>
      <w:r>
        <w:rPr>
          <w:rFonts w:hint="eastAsia" w:ascii="仿宋" w:hAnsi="仿宋" w:eastAsia="仿宋"/>
          <w:lang w:val="en-US" w:eastAsia="zh-CN"/>
        </w:rPr>
        <w:t>“权属不清及存在争议难于确权登记”栏。</w:t>
      </w:r>
    </w:p>
    <w:p>
      <w:pPr>
        <w:numPr>
          <w:ilvl w:val="0"/>
          <w:numId w:val="1"/>
        </w:numPr>
        <w:rPr>
          <w:rFonts w:hint="eastAsia" w:ascii="仿宋" w:hAnsi="仿宋" w:eastAsia="仿宋"/>
          <w:lang w:eastAsia="zh-CN"/>
        </w:rPr>
      </w:pPr>
      <w:r>
        <w:rPr>
          <w:rFonts w:hint="eastAsia" w:ascii="仿宋" w:hAnsi="仿宋" w:eastAsia="仿宋"/>
          <w:lang w:val="en-US" w:eastAsia="zh-CN"/>
        </w:rPr>
        <w:t>本表竖栏“附列资料”由三类企业填列，即</w:t>
      </w:r>
      <w:r>
        <w:rPr>
          <w:rFonts w:hint="eastAsia" w:ascii="仿宋" w:hAnsi="仿宋" w:eastAsia="仿宋"/>
        </w:rPr>
        <w:t>电子商务企业、农副产品批发（交易）市场、连锁经营企业</w:t>
      </w:r>
      <w:r>
        <w:rPr>
          <w:rFonts w:hint="eastAsia" w:ascii="仿宋" w:hAnsi="仿宋" w:eastAsia="仿宋"/>
          <w:lang w:val="en-US" w:eastAsia="zh-CN"/>
        </w:rPr>
        <w:t>除</w:t>
      </w:r>
      <w:r>
        <w:rPr>
          <w:rFonts w:hint="eastAsia" w:ascii="仿宋" w:hAnsi="仿宋" w:eastAsia="仿宋"/>
        </w:rPr>
        <w:t>填列本表竖栏</w:t>
      </w:r>
      <w:r>
        <w:rPr>
          <w:rFonts w:hint="eastAsia" w:ascii="仿宋" w:hAnsi="仿宋" w:eastAsia="仿宋"/>
          <w:lang w:val="en-US" w:eastAsia="zh-CN"/>
        </w:rPr>
        <w:t>所有项目外，还需填列</w:t>
      </w:r>
      <w:r>
        <w:rPr>
          <w:rFonts w:hint="eastAsia" w:ascii="仿宋" w:hAnsi="仿宋" w:eastAsia="仿宋"/>
        </w:rPr>
        <w:t>“附列资料”</w:t>
      </w:r>
      <w:r>
        <w:rPr>
          <w:rFonts w:hint="eastAsia" w:ascii="仿宋" w:hAnsi="仿宋" w:eastAsia="仿宋"/>
          <w:lang w:val="en-US" w:eastAsia="zh-CN"/>
        </w:rPr>
        <w:t>内容（三类企业以外的企业不需填列“</w:t>
      </w:r>
      <w:r>
        <w:rPr>
          <w:rFonts w:hint="eastAsia" w:ascii="仿宋" w:hAnsi="仿宋" w:eastAsia="仿宋"/>
        </w:rPr>
        <w:t>附列资料</w:t>
      </w:r>
      <w:r>
        <w:rPr>
          <w:rFonts w:hint="eastAsia" w:ascii="仿宋" w:hAnsi="仿宋" w:eastAsia="仿宋"/>
          <w:lang w:val="en-US" w:eastAsia="zh-CN"/>
        </w:rPr>
        <w:t>”）</w:t>
      </w:r>
      <w:r>
        <w:rPr>
          <w:rFonts w:hint="eastAsia" w:ascii="仿宋" w:hAnsi="仿宋" w:eastAsia="仿宋"/>
          <w:lang w:eastAsia="zh-CN"/>
        </w:rPr>
        <w:t>。</w:t>
      </w:r>
    </w:p>
    <w:p>
      <w:pPr>
        <w:numPr>
          <w:ilvl w:val="0"/>
          <w:numId w:val="0"/>
        </w:numPr>
        <w:ind w:firstLine="632" w:firstLineChars="200"/>
        <w:rPr>
          <w:rFonts w:hint="eastAsia" w:ascii="黑体" w:hAnsi="黑体" w:eastAsia="黑体"/>
        </w:rPr>
      </w:pPr>
    </w:p>
    <w:p>
      <w:pPr>
        <w:numPr>
          <w:ilvl w:val="0"/>
          <w:numId w:val="0"/>
        </w:numPr>
        <w:ind w:firstLine="632" w:firstLineChars="200"/>
        <w:rPr>
          <w:rFonts w:ascii="黑体" w:hAnsi="黑体" w:eastAsia="黑体"/>
        </w:rPr>
      </w:pPr>
      <w:r>
        <w:rPr>
          <w:rFonts w:hint="eastAsia" w:ascii="黑体" w:hAnsi="黑体" w:eastAsia="黑体"/>
        </w:rPr>
        <w:t>表四：供销合作社投资建设的其他合作经济组织资产资源专项清查报表填表说明</w:t>
      </w:r>
    </w:p>
    <w:p>
      <w:pPr>
        <w:rPr>
          <w:rFonts w:ascii="仿宋" w:hAnsi="仿宋" w:eastAsia="仿宋"/>
        </w:rPr>
      </w:pPr>
      <w:r>
        <w:rPr>
          <w:rFonts w:hint="eastAsia" w:ascii="仿宋" w:hAnsi="仿宋" w:eastAsia="仿宋"/>
        </w:rPr>
        <w:t>1</w:t>
      </w:r>
      <w:r>
        <w:rPr>
          <w:rFonts w:ascii="仿宋" w:hAnsi="仿宋" w:eastAsia="仿宋"/>
        </w:rPr>
        <w:t>.</w:t>
      </w:r>
      <w:r>
        <w:rPr>
          <w:rFonts w:hint="eastAsia" w:ascii="仿宋" w:hAnsi="仿宋" w:eastAsia="仿宋"/>
        </w:rPr>
        <w:t xml:space="preserve"> 本报表为县（市、区）社、设区市社单户报表与设区市社汇总报表统一格式。表头“填报单位”填列“xx设区市供销合作社”。</w:t>
      </w:r>
    </w:p>
    <w:p>
      <w:pPr>
        <w:rPr>
          <w:rFonts w:hint="eastAsia" w:ascii="仿宋" w:hAnsi="仿宋" w:eastAsia="仿宋"/>
        </w:rPr>
      </w:pPr>
      <w:r>
        <w:rPr>
          <w:rFonts w:hint="eastAsia" w:ascii="仿宋" w:hAnsi="仿宋" w:eastAsia="仿宋"/>
        </w:rPr>
        <w:t>2</w:t>
      </w:r>
      <w:r>
        <w:rPr>
          <w:rFonts w:ascii="仿宋" w:hAnsi="仿宋" w:eastAsia="仿宋"/>
        </w:rPr>
        <w:t>.</w:t>
      </w:r>
      <w:r>
        <w:rPr>
          <w:rFonts w:hint="eastAsia" w:ascii="仿宋" w:hAnsi="仿宋" w:eastAsia="仿宋"/>
        </w:rPr>
        <w:t>本表横行“填表单位（全称）”区分基层社属、县（市、区）社属、设区市社属和社有企业属其他合作经济组织四类，由供销合作社、社有企业出资创办、入股参办且经工商注册登记正常经营的农民专业合作社、农村综合服务社等填列，供销合作社、社有企业没有出资未经注册登记的农民专业合作社、农村综合服务社等不填列。</w:t>
      </w:r>
    </w:p>
    <w:p>
      <w:pPr>
        <w:jc w:val="left"/>
        <w:rPr>
          <w:rFonts w:ascii="仿宋" w:hAnsi="仿宋" w:eastAsia="仿宋"/>
        </w:rPr>
      </w:pPr>
      <w:r>
        <w:rPr>
          <w:rFonts w:hint="eastAsia" w:ascii="仿宋" w:hAnsi="仿宋" w:eastAsia="仿宋"/>
        </w:rPr>
        <w:t>3</w:t>
      </w:r>
      <w:r>
        <w:rPr>
          <w:rFonts w:ascii="仿宋" w:hAnsi="仿宋" w:eastAsia="仿宋"/>
        </w:rPr>
        <w:t>.</w:t>
      </w:r>
      <w:r>
        <w:rPr>
          <w:rFonts w:hint="eastAsia" w:ascii="仿宋" w:hAnsi="仿宋" w:eastAsia="仿宋"/>
        </w:rPr>
        <w:t>本表竖栏“成员出资总额”填列该组织营业执照标明数</w:t>
      </w:r>
      <w:r>
        <w:rPr>
          <w:rFonts w:hint="eastAsia" w:ascii="仿宋" w:hAnsi="仿宋" w:eastAsia="仿宋"/>
          <w:lang w:val="en-US" w:eastAsia="zh-CN"/>
        </w:rPr>
        <w:t>额</w:t>
      </w:r>
      <w:r>
        <w:rPr>
          <w:rFonts w:hint="eastAsia" w:ascii="仿宋" w:hAnsi="仿宋" w:eastAsia="仿宋"/>
        </w:rPr>
        <w:t>。</w:t>
      </w:r>
    </w:p>
    <w:p>
      <w:pPr>
        <w:jc w:val="left"/>
        <w:rPr>
          <w:rFonts w:hint="eastAsia" w:ascii="仿宋" w:hAnsi="仿宋" w:eastAsia="仿宋"/>
        </w:rPr>
      </w:pPr>
      <w:r>
        <w:rPr>
          <w:rFonts w:hint="eastAsia" w:ascii="仿宋" w:hAnsi="仿宋" w:eastAsia="仿宋"/>
        </w:rPr>
        <w:t>4</w:t>
      </w:r>
      <w:r>
        <w:rPr>
          <w:rFonts w:ascii="仿宋" w:hAnsi="仿宋" w:eastAsia="仿宋"/>
        </w:rPr>
        <w:t>.</w:t>
      </w:r>
      <w:r>
        <w:rPr>
          <w:rFonts w:hint="eastAsia" w:ascii="仿宋" w:hAnsi="仿宋" w:eastAsia="仿宋"/>
        </w:rPr>
        <w:t xml:space="preserve"> 本表竖栏“其中供销社所占出资额”填列基层社、县（市、区）社、设区市社和社有企业按认缴资本制认缴的出资额</w:t>
      </w:r>
      <w:r>
        <w:rPr>
          <w:rFonts w:hint="eastAsia" w:ascii="宋体" w:hAnsi="宋体" w:eastAsia="宋体" w:cs="宋体"/>
          <w:lang w:eastAsia="zh-CN"/>
        </w:rPr>
        <w:t>[</w:t>
      </w:r>
      <w:r>
        <w:rPr>
          <w:rFonts w:hint="eastAsia" w:ascii="仿宋" w:hAnsi="仿宋" w:eastAsia="仿宋"/>
          <w:lang w:val="en-US" w:eastAsia="zh-CN"/>
        </w:rPr>
        <w:t>存在以上两种或三种、四种法人都有出资情形的，该</w:t>
      </w:r>
      <w:r>
        <w:rPr>
          <w:rFonts w:hint="eastAsia" w:ascii="仿宋" w:hAnsi="仿宋" w:eastAsia="仿宋"/>
        </w:rPr>
        <w:t>合作经济组织</w:t>
      </w:r>
      <w:r>
        <w:rPr>
          <w:rFonts w:hint="eastAsia" w:ascii="仿宋" w:hAnsi="仿宋" w:eastAsia="仿宋"/>
          <w:lang w:val="en-US" w:eastAsia="zh-CN"/>
        </w:rPr>
        <w:t>原则上填列在出资额占比最大的法人名下</w:t>
      </w:r>
      <w:r>
        <w:rPr>
          <w:rFonts w:hint="eastAsia" w:ascii="宋体" w:hAnsi="宋体" w:eastAsia="宋体" w:cs="宋体"/>
          <w:lang w:eastAsia="zh-CN"/>
        </w:rPr>
        <w:t>]</w:t>
      </w:r>
      <w:r>
        <w:rPr>
          <w:rFonts w:hint="eastAsia" w:ascii="仿宋" w:hAnsi="仿宋" w:eastAsia="仿宋"/>
        </w:rPr>
        <w:t>。</w:t>
      </w:r>
      <w:r>
        <w:rPr>
          <w:rFonts w:hint="eastAsia" w:ascii="仿宋" w:hAnsi="仿宋" w:eastAsia="仿宋"/>
        </w:rPr>
        <w:tab/>
      </w:r>
      <w:r>
        <w:rPr>
          <w:rFonts w:hint="eastAsia" w:ascii="仿宋" w:hAnsi="仿宋" w:eastAsia="仿宋"/>
        </w:rPr>
        <w:tab/>
      </w:r>
    </w:p>
    <w:p>
      <w:pPr>
        <w:jc w:val="left"/>
        <w:rPr>
          <w:rFonts w:ascii="仿宋" w:hAnsi="仿宋" w:eastAsia="仿宋"/>
        </w:rPr>
      </w:pPr>
      <w:r>
        <w:rPr>
          <w:rFonts w:hint="eastAsia" w:ascii="仿宋" w:hAnsi="仿宋" w:eastAsia="仿宋"/>
          <w:lang w:val="en-US" w:eastAsia="zh-CN"/>
        </w:rPr>
        <w:t>5</w:t>
      </w:r>
      <w:r>
        <w:rPr>
          <w:rFonts w:ascii="仿宋" w:hAnsi="仿宋" w:eastAsia="仿宋"/>
        </w:rPr>
        <w:t>.</w:t>
      </w:r>
      <w:r>
        <w:rPr>
          <w:rFonts w:hint="eastAsia" w:ascii="仿宋" w:hAnsi="仿宋" w:eastAsia="仿宋"/>
        </w:rPr>
        <w:tab/>
      </w:r>
      <w:r>
        <w:rPr>
          <w:rFonts w:hint="eastAsia" w:ascii="仿宋" w:hAnsi="仿宋" w:eastAsia="仿宋"/>
        </w:rPr>
        <w:tab/>
      </w:r>
      <w:r>
        <w:rPr>
          <w:rFonts w:hint="eastAsia" w:ascii="仿宋" w:hAnsi="仿宋" w:eastAsia="仿宋"/>
        </w:rPr>
        <w:t>本表竖栏“销售总额、资产总额、净资产总额”填列统计数。</w:t>
      </w:r>
      <w:r>
        <w:rPr>
          <w:rFonts w:hint="eastAsia" w:ascii="仿宋" w:hAnsi="仿宋" w:eastAsia="仿宋"/>
        </w:rPr>
        <w:tab/>
      </w:r>
      <w:r>
        <w:rPr>
          <w:rFonts w:hint="eastAsia" w:ascii="仿宋" w:hAnsi="仿宋" w:eastAsia="仿宋"/>
        </w:rPr>
        <w:tab/>
      </w:r>
    </w:p>
    <w:sectPr>
      <w:footerReference r:id="rId5" w:type="default"/>
      <w:pgSz w:w="11906" w:h="16838"/>
      <w:pgMar w:top="1814" w:right="1531" w:bottom="1985" w:left="1531" w:header="720" w:footer="1474" w:gutter="0"/>
      <w:pgNumType w:fmt="numberInDash" w:start="1"/>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10" w:usb3="00000000" w:csb0="00040000" w:csb1="00000000"/>
  </w:font>
  <w:font w:name="方正黑体_GBK">
    <w:altName w:val="微软雅黑"/>
    <w:panose1 w:val="00000000000000000000"/>
    <w:charset w:val="86"/>
    <w:family w:val="script"/>
    <w:pitch w:val="default"/>
    <w:sig w:usb0="00000000" w:usb1="00000000" w:usb2="0000001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41172531"/>
      <w:docPartObj>
        <w:docPartGallery w:val="autotext"/>
      </w:docPartObj>
    </w:sdtPr>
    <w:sdtContent>
      <w:p>
        <w:pPr>
          <w:pStyle w:val="6"/>
        </w:pPr>
        <w:r>
          <w:fldChar w:fldCharType="begin"/>
        </w:r>
        <w:r>
          <w:instrText xml:space="preserve">PAGE   \* MERGEFORMAT</w:instrText>
        </w:r>
        <w:r>
          <w:fldChar w:fldCharType="separate"/>
        </w:r>
        <w:r>
          <w:rPr>
            <w:lang w:val="zh-CN"/>
          </w:rPr>
          <w:t>2</w:t>
        </w:r>
        <w:r>
          <w:fldChar w:fldCharType="end"/>
        </w:r>
      </w:p>
    </w:sdtContent>
  </w:sdt>
  <w:p>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69EC0F5"/>
    <w:multiLevelType w:val="singleLevel"/>
    <w:tmpl w:val="D69EC0F5"/>
    <w:lvl w:ilvl="0" w:tentative="0">
      <w:start w:val="6"/>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0"/>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F8E"/>
    <w:rsid w:val="000131FE"/>
    <w:rsid w:val="00016DCA"/>
    <w:rsid w:val="00023B8A"/>
    <w:rsid w:val="00031F08"/>
    <w:rsid w:val="00032095"/>
    <w:rsid w:val="000421AE"/>
    <w:rsid w:val="00047A76"/>
    <w:rsid w:val="00060D05"/>
    <w:rsid w:val="00063435"/>
    <w:rsid w:val="00090815"/>
    <w:rsid w:val="00097E34"/>
    <w:rsid w:val="000A5A1B"/>
    <w:rsid w:val="000C05C7"/>
    <w:rsid w:val="000C32C8"/>
    <w:rsid w:val="000C52EF"/>
    <w:rsid w:val="000C6529"/>
    <w:rsid w:val="000D0D34"/>
    <w:rsid w:val="000E0466"/>
    <w:rsid w:val="000E2074"/>
    <w:rsid w:val="000E501D"/>
    <w:rsid w:val="000F04E7"/>
    <w:rsid w:val="000F0913"/>
    <w:rsid w:val="000F30ED"/>
    <w:rsid w:val="00101951"/>
    <w:rsid w:val="00116FE6"/>
    <w:rsid w:val="0012468E"/>
    <w:rsid w:val="001403F8"/>
    <w:rsid w:val="001516A9"/>
    <w:rsid w:val="00157146"/>
    <w:rsid w:val="00157DE1"/>
    <w:rsid w:val="00175853"/>
    <w:rsid w:val="00182032"/>
    <w:rsid w:val="001A3572"/>
    <w:rsid w:val="001A7385"/>
    <w:rsid w:val="001B449D"/>
    <w:rsid w:val="001B4A40"/>
    <w:rsid w:val="001C3555"/>
    <w:rsid w:val="001C4F6F"/>
    <w:rsid w:val="001C636B"/>
    <w:rsid w:val="001D70EB"/>
    <w:rsid w:val="001E081C"/>
    <w:rsid w:val="001E555E"/>
    <w:rsid w:val="00202054"/>
    <w:rsid w:val="00202208"/>
    <w:rsid w:val="00202E5D"/>
    <w:rsid w:val="00207DC4"/>
    <w:rsid w:val="0021536F"/>
    <w:rsid w:val="00230513"/>
    <w:rsid w:val="00232083"/>
    <w:rsid w:val="002454DA"/>
    <w:rsid w:val="00254097"/>
    <w:rsid w:val="00273D4E"/>
    <w:rsid w:val="00285304"/>
    <w:rsid w:val="0028626C"/>
    <w:rsid w:val="002908A1"/>
    <w:rsid w:val="002B206C"/>
    <w:rsid w:val="002B237E"/>
    <w:rsid w:val="002B2F58"/>
    <w:rsid w:val="002D3F5D"/>
    <w:rsid w:val="002E15EB"/>
    <w:rsid w:val="002E1E4F"/>
    <w:rsid w:val="002E2646"/>
    <w:rsid w:val="002E2BFF"/>
    <w:rsid w:val="002E3B60"/>
    <w:rsid w:val="002F2F9B"/>
    <w:rsid w:val="002F5D5B"/>
    <w:rsid w:val="00301194"/>
    <w:rsid w:val="00310B67"/>
    <w:rsid w:val="00310B9E"/>
    <w:rsid w:val="0032369F"/>
    <w:rsid w:val="00332FD8"/>
    <w:rsid w:val="003348E2"/>
    <w:rsid w:val="003402BA"/>
    <w:rsid w:val="00344D85"/>
    <w:rsid w:val="00351648"/>
    <w:rsid w:val="00351EE5"/>
    <w:rsid w:val="00355804"/>
    <w:rsid w:val="00363539"/>
    <w:rsid w:val="003911BC"/>
    <w:rsid w:val="003936A8"/>
    <w:rsid w:val="003C66F8"/>
    <w:rsid w:val="00403839"/>
    <w:rsid w:val="00405AE7"/>
    <w:rsid w:val="004158E3"/>
    <w:rsid w:val="00425D7C"/>
    <w:rsid w:val="004265A8"/>
    <w:rsid w:val="00431958"/>
    <w:rsid w:val="00441AA2"/>
    <w:rsid w:val="004425D1"/>
    <w:rsid w:val="004472D8"/>
    <w:rsid w:val="00453827"/>
    <w:rsid w:val="00455A42"/>
    <w:rsid w:val="00475A6A"/>
    <w:rsid w:val="004829BD"/>
    <w:rsid w:val="00482C6D"/>
    <w:rsid w:val="004831AE"/>
    <w:rsid w:val="004862ED"/>
    <w:rsid w:val="004A151A"/>
    <w:rsid w:val="004B44A4"/>
    <w:rsid w:val="004B4C0E"/>
    <w:rsid w:val="004B5039"/>
    <w:rsid w:val="004B7575"/>
    <w:rsid w:val="004D47C2"/>
    <w:rsid w:val="004D4C8B"/>
    <w:rsid w:val="004D4FC3"/>
    <w:rsid w:val="004D71A5"/>
    <w:rsid w:val="004D72B6"/>
    <w:rsid w:val="004E00D3"/>
    <w:rsid w:val="004E063F"/>
    <w:rsid w:val="004E095D"/>
    <w:rsid w:val="004E7871"/>
    <w:rsid w:val="004F2604"/>
    <w:rsid w:val="004F47BC"/>
    <w:rsid w:val="00500E7F"/>
    <w:rsid w:val="00502DEB"/>
    <w:rsid w:val="00506343"/>
    <w:rsid w:val="005206E7"/>
    <w:rsid w:val="00537F23"/>
    <w:rsid w:val="005408F4"/>
    <w:rsid w:val="00543E38"/>
    <w:rsid w:val="00545B1E"/>
    <w:rsid w:val="00547530"/>
    <w:rsid w:val="00553D8A"/>
    <w:rsid w:val="005616E4"/>
    <w:rsid w:val="00562275"/>
    <w:rsid w:val="005622E2"/>
    <w:rsid w:val="0056530D"/>
    <w:rsid w:val="00570DD2"/>
    <w:rsid w:val="005768DE"/>
    <w:rsid w:val="005839ED"/>
    <w:rsid w:val="005859FC"/>
    <w:rsid w:val="0059149E"/>
    <w:rsid w:val="00591667"/>
    <w:rsid w:val="00592A6F"/>
    <w:rsid w:val="005942FC"/>
    <w:rsid w:val="005A7002"/>
    <w:rsid w:val="005B6FA8"/>
    <w:rsid w:val="005C0D4B"/>
    <w:rsid w:val="005C66A3"/>
    <w:rsid w:val="005D0077"/>
    <w:rsid w:val="005D23CC"/>
    <w:rsid w:val="005E1C9E"/>
    <w:rsid w:val="005E35C8"/>
    <w:rsid w:val="005E415F"/>
    <w:rsid w:val="005E42E6"/>
    <w:rsid w:val="005E62BA"/>
    <w:rsid w:val="005F1083"/>
    <w:rsid w:val="005F57F3"/>
    <w:rsid w:val="006030D7"/>
    <w:rsid w:val="00605C53"/>
    <w:rsid w:val="00612B1E"/>
    <w:rsid w:val="00623EAD"/>
    <w:rsid w:val="006418D8"/>
    <w:rsid w:val="0064260F"/>
    <w:rsid w:val="0064783A"/>
    <w:rsid w:val="00652262"/>
    <w:rsid w:val="006551B8"/>
    <w:rsid w:val="00661B7C"/>
    <w:rsid w:val="00661BAB"/>
    <w:rsid w:val="00692326"/>
    <w:rsid w:val="0069671A"/>
    <w:rsid w:val="006A02D9"/>
    <w:rsid w:val="006A3314"/>
    <w:rsid w:val="006A3EBA"/>
    <w:rsid w:val="006A5B0B"/>
    <w:rsid w:val="006B1B23"/>
    <w:rsid w:val="006B63F9"/>
    <w:rsid w:val="006B666D"/>
    <w:rsid w:val="006D3B69"/>
    <w:rsid w:val="006D6BD6"/>
    <w:rsid w:val="006D7422"/>
    <w:rsid w:val="006D744E"/>
    <w:rsid w:val="006E0765"/>
    <w:rsid w:val="006E2AE2"/>
    <w:rsid w:val="006F1A99"/>
    <w:rsid w:val="00702801"/>
    <w:rsid w:val="00706C00"/>
    <w:rsid w:val="007070C1"/>
    <w:rsid w:val="00714AD3"/>
    <w:rsid w:val="00716999"/>
    <w:rsid w:val="00720B64"/>
    <w:rsid w:val="00722915"/>
    <w:rsid w:val="00732855"/>
    <w:rsid w:val="00734D6C"/>
    <w:rsid w:val="00745DCB"/>
    <w:rsid w:val="00753D93"/>
    <w:rsid w:val="00757C34"/>
    <w:rsid w:val="007647F8"/>
    <w:rsid w:val="00771855"/>
    <w:rsid w:val="00775140"/>
    <w:rsid w:val="0078479A"/>
    <w:rsid w:val="007A1F47"/>
    <w:rsid w:val="007A3011"/>
    <w:rsid w:val="007A5E80"/>
    <w:rsid w:val="007C0379"/>
    <w:rsid w:val="007C33AF"/>
    <w:rsid w:val="007D0F2B"/>
    <w:rsid w:val="007D40D4"/>
    <w:rsid w:val="007E1ABC"/>
    <w:rsid w:val="007E21F3"/>
    <w:rsid w:val="007E24BE"/>
    <w:rsid w:val="007F5F35"/>
    <w:rsid w:val="008023E6"/>
    <w:rsid w:val="00802C6A"/>
    <w:rsid w:val="008042D8"/>
    <w:rsid w:val="00812E10"/>
    <w:rsid w:val="00831691"/>
    <w:rsid w:val="008319D3"/>
    <w:rsid w:val="00832147"/>
    <w:rsid w:val="0083331C"/>
    <w:rsid w:val="008616EE"/>
    <w:rsid w:val="00865E45"/>
    <w:rsid w:val="00874644"/>
    <w:rsid w:val="008843AE"/>
    <w:rsid w:val="00896463"/>
    <w:rsid w:val="008B4FB4"/>
    <w:rsid w:val="008B57F2"/>
    <w:rsid w:val="008B6392"/>
    <w:rsid w:val="008C473C"/>
    <w:rsid w:val="008C55F1"/>
    <w:rsid w:val="008D1108"/>
    <w:rsid w:val="008D47CF"/>
    <w:rsid w:val="008E38AB"/>
    <w:rsid w:val="008F0DBA"/>
    <w:rsid w:val="008F5908"/>
    <w:rsid w:val="009022B5"/>
    <w:rsid w:val="009101D0"/>
    <w:rsid w:val="009175AA"/>
    <w:rsid w:val="009216B7"/>
    <w:rsid w:val="00926B5D"/>
    <w:rsid w:val="00934682"/>
    <w:rsid w:val="00934A7F"/>
    <w:rsid w:val="00970ED0"/>
    <w:rsid w:val="00972D2E"/>
    <w:rsid w:val="009770DA"/>
    <w:rsid w:val="00981325"/>
    <w:rsid w:val="00984AEC"/>
    <w:rsid w:val="009850E9"/>
    <w:rsid w:val="00987BF5"/>
    <w:rsid w:val="00993C91"/>
    <w:rsid w:val="009A6EC8"/>
    <w:rsid w:val="009B14B9"/>
    <w:rsid w:val="009B1D58"/>
    <w:rsid w:val="009B3D38"/>
    <w:rsid w:val="009B6149"/>
    <w:rsid w:val="009B6600"/>
    <w:rsid w:val="009C3520"/>
    <w:rsid w:val="009C65D5"/>
    <w:rsid w:val="00A024CE"/>
    <w:rsid w:val="00A045F7"/>
    <w:rsid w:val="00A1516E"/>
    <w:rsid w:val="00A254CE"/>
    <w:rsid w:val="00A42549"/>
    <w:rsid w:val="00A43C08"/>
    <w:rsid w:val="00A47749"/>
    <w:rsid w:val="00A53305"/>
    <w:rsid w:val="00A6135C"/>
    <w:rsid w:val="00A62ECE"/>
    <w:rsid w:val="00A70414"/>
    <w:rsid w:val="00A70509"/>
    <w:rsid w:val="00A71A47"/>
    <w:rsid w:val="00A71CE7"/>
    <w:rsid w:val="00A75C7C"/>
    <w:rsid w:val="00A949AE"/>
    <w:rsid w:val="00AB0CFC"/>
    <w:rsid w:val="00AB0F95"/>
    <w:rsid w:val="00AB702F"/>
    <w:rsid w:val="00AC0829"/>
    <w:rsid w:val="00AC4E1F"/>
    <w:rsid w:val="00AC72AF"/>
    <w:rsid w:val="00AD4AFE"/>
    <w:rsid w:val="00AD5C5B"/>
    <w:rsid w:val="00AD7374"/>
    <w:rsid w:val="00AD7588"/>
    <w:rsid w:val="00AF3565"/>
    <w:rsid w:val="00B10244"/>
    <w:rsid w:val="00B179C2"/>
    <w:rsid w:val="00B22293"/>
    <w:rsid w:val="00B2322F"/>
    <w:rsid w:val="00B343DB"/>
    <w:rsid w:val="00B464C0"/>
    <w:rsid w:val="00B52704"/>
    <w:rsid w:val="00B52732"/>
    <w:rsid w:val="00B72FBB"/>
    <w:rsid w:val="00B74EFB"/>
    <w:rsid w:val="00B8039E"/>
    <w:rsid w:val="00B81138"/>
    <w:rsid w:val="00B84812"/>
    <w:rsid w:val="00BA1DF0"/>
    <w:rsid w:val="00BA679F"/>
    <w:rsid w:val="00BD511D"/>
    <w:rsid w:val="00BE02F0"/>
    <w:rsid w:val="00C0059F"/>
    <w:rsid w:val="00C00987"/>
    <w:rsid w:val="00C017F4"/>
    <w:rsid w:val="00C10E74"/>
    <w:rsid w:val="00C23C24"/>
    <w:rsid w:val="00C436DC"/>
    <w:rsid w:val="00C45BDA"/>
    <w:rsid w:val="00C46F8E"/>
    <w:rsid w:val="00C5475D"/>
    <w:rsid w:val="00C57962"/>
    <w:rsid w:val="00C75DE9"/>
    <w:rsid w:val="00C87390"/>
    <w:rsid w:val="00C977F9"/>
    <w:rsid w:val="00CA4BAD"/>
    <w:rsid w:val="00CC73AE"/>
    <w:rsid w:val="00D00519"/>
    <w:rsid w:val="00D07CB4"/>
    <w:rsid w:val="00D107A0"/>
    <w:rsid w:val="00D43C40"/>
    <w:rsid w:val="00D51541"/>
    <w:rsid w:val="00D879DD"/>
    <w:rsid w:val="00D94F0E"/>
    <w:rsid w:val="00DB471E"/>
    <w:rsid w:val="00DC1B6E"/>
    <w:rsid w:val="00DD554A"/>
    <w:rsid w:val="00DD567D"/>
    <w:rsid w:val="00DD7B5D"/>
    <w:rsid w:val="00DF0746"/>
    <w:rsid w:val="00E05838"/>
    <w:rsid w:val="00E15744"/>
    <w:rsid w:val="00E168AA"/>
    <w:rsid w:val="00E25A3C"/>
    <w:rsid w:val="00E360E5"/>
    <w:rsid w:val="00E45324"/>
    <w:rsid w:val="00E608B3"/>
    <w:rsid w:val="00E66C77"/>
    <w:rsid w:val="00E82254"/>
    <w:rsid w:val="00E8732C"/>
    <w:rsid w:val="00E92889"/>
    <w:rsid w:val="00E9585A"/>
    <w:rsid w:val="00EA5A73"/>
    <w:rsid w:val="00EA7EDB"/>
    <w:rsid w:val="00EC4521"/>
    <w:rsid w:val="00ED4944"/>
    <w:rsid w:val="00ED65AA"/>
    <w:rsid w:val="00EF7E7A"/>
    <w:rsid w:val="00F02DE6"/>
    <w:rsid w:val="00F04085"/>
    <w:rsid w:val="00F07827"/>
    <w:rsid w:val="00F3435F"/>
    <w:rsid w:val="00F51FEF"/>
    <w:rsid w:val="00F6185C"/>
    <w:rsid w:val="00F64623"/>
    <w:rsid w:val="00F84EDF"/>
    <w:rsid w:val="00F850CE"/>
    <w:rsid w:val="00F934B7"/>
    <w:rsid w:val="00FA6478"/>
    <w:rsid w:val="00FB7AD5"/>
    <w:rsid w:val="00FC3AA2"/>
    <w:rsid w:val="00FD4511"/>
    <w:rsid w:val="00FD5AFD"/>
    <w:rsid w:val="00FE0744"/>
    <w:rsid w:val="1E323152"/>
    <w:rsid w:val="1F7A4789"/>
    <w:rsid w:val="22456B53"/>
    <w:rsid w:val="24157EEF"/>
    <w:rsid w:val="327A7040"/>
    <w:rsid w:val="33BE3E19"/>
    <w:rsid w:val="37C615BA"/>
    <w:rsid w:val="392A31B6"/>
    <w:rsid w:val="3AEE26CC"/>
    <w:rsid w:val="3C3C42DD"/>
    <w:rsid w:val="44570F9A"/>
    <w:rsid w:val="4C2E2B53"/>
    <w:rsid w:val="4FF47130"/>
    <w:rsid w:val="6A460594"/>
    <w:rsid w:val="6D3B6AB4"/>
    <w:rsid w:val="7EB45F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方正小标宋_GBK"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9">
    <w:name w:val="Default Paragraph Font"/>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Date"/>
    <w:basedOn w:val="1"/>
    <w:next w:val="1"/>
    <w:link w:val="27"/>
    <w:qFormat/>
    <w:uiPriority w:val="0"/>
    <w:pPr>
      <w:ind w:left="100" w:leftChars="2500"/>
    </w:pPr>
  </w:style>
  <w:style w:type="paragraph" w:styleId="5">
    <w:name w:val="Balloon Text"/>
    <w:basedOn w:val="1"/>
    <w:link w:val="28"/>
    <w:qFormat/>
    <w:uiPriority w:val="0"/>
    <w:pPr>
      <w:spacing w:line="240" w:lineRule="auto"/>
    </w:pPr>
    <w:rPr>
      <w:sz w:val="18"/>
      <w:szCs w:val="18"/>
    </w:rPr>
  </w:style>
  <w:style w:type="paragraph" w:styleId="6">
    <w:name w:val="footer"/>
    <w:basedOn w:val="1"/>
    <w:link w:val="30"/>
    <w:qFormat/>
    <w:uiPriority w:val="99"/>
    <w:pPr>
      <w:tabs>
        <w:tab w:val="center" w:pos="4153"/>
        <w:tab w:val="right" w:pos="8306"/>
      </w:tabs>
      <w:spacing w:line="400" w:lineRule="atLeast"/>
      <w:ind w:firstLine="0"/>
      <w:jc w:val="center"/>
    </w:pPr>
    <w:rPr>
      <w:sz w:val="28"/>
    </w:rPr>
  </w:style>
  <w:style w:type="paragraph" w:styleId="7">
    <w:name w:val="header"/>
    <w:basedOn w:val="1"/>
    <w:qFormat/>
    <w:uiPriority w:val="0"/>
    <w:pPr>
      <w:pBdr>
        <w:bottom w:val="single" w:color="auto" w:sz="6" w:space="1"/>
      </w:pBdr>
      <w:tabs>
        <w:tab w:val="center" w:pos="4153"/>
        <w:tab w:val="right" w:pos="8306"/>
      </w:tabs>
      <w:spacing w:line="240" w:lineRule="atLeast"/>
      <w:jc w:val="center"/>
    </w:pPr>
    <w:rPr>
      <w:sz w:val="18"/>
    </w:rPr>
  </w:style>
  <w:style w:type="character" w:styleId="10">
    <w:name w:val="page number"/>
    <w:basedOn w:val="9"/>
    <w:qFormat/>
    <w:uiPriority w:val="0"/>
  </w:style>
  <w:style w:type="character" w:styleId="11">
    <w:name w:val="Hyperlink"/>
    <w:basedOn w:val="9"/>
    <w:unhideWhenUsed/>
    <w:qFormat/>
    <w:uiPriority w:val="0"/>
    <w:rPr>
      <w:color w:val="0000FF" w:themeColor="hyperlink"/>
      <w:u w:val="single"/>
      <w14:textFill>
        <w14:solidFill>
          <w14:schemeClr w14:val="hlink"/>
        </w14:solidFill>
      </w14:textFill>
    </w:rPr>
  </w:style>
  <w:style w:type="paragraph" w:customStyle="1" w:styleId="12">
    <w:name w:val="样式1"/>
    <w:basedOn w:val="1"/>
    <w:qFormat/>
    <w:uiPriority w:val="0"/>
  </w:style>
  <w:style w:type="paragraph" w:customStyle="1" w:styleId="13">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4">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5">
    <w:name w:val="标题2"/>
    <w:basedOn w:val="1"/>
    <w:next w:val="1"/>
    <w:qFormat/>
    <w:uiPriority w:val="0"/>
    <w:pPr>
      <w:ind w:firstLine="0"/>
      <w:jc w:val="center"/>
    </w:pPr>
    <w:rPr>
      <w:rFonts w:eastAsia="方正楷体_GBK"/>
    </w:rPr>
  </w:style>
  <w:style w:type="paragraph" w:customStyle="1" w:styleId="16">
    <w:name w:val="标题3"/>
    <w:basedOn w:val="1"/>
    <w:next w:val="1"/>
    <w:qFormat/>
    <w:uiPriority w:val="0"/>
    <w:rPr>
      <w:rFonts w:eastAsia="方正黑体_GBK"/>
    </w:rPr>
  </w:style>
  <w:style w:type="paragraph" w:customStyle="1" w:styleId="17">
    <w:name w:val="密级"/>
    <w:basedOn w:val="1"/>
    <w:qFormat/>
    <w:uiPriority w:val="0"/>
    <w:pPr>
      <w:adjustRightInd w:val="0"/>
      <w:spacing w:line="440" w:lineRule="atLeast"/>
      <w:ind w:firstLine="0"/>
      <w:jc w:val="right"/>
    </w:pPr>
    <w:rPr>
      <w:rFonts w:ascii="黑体" w:eastAsia="黑体"/>
      <w:sz w:val="30"/>
    </w:rPr>
  </w:style>
  <w:style w:type="paragraph" w:customStyle="1" w:styleId="18">
    <w:name w:val="主题词"/>
    <w:basedOn w:val="1"/>
    <w:qFormat/>
    <w:uiPriority w:val="0"/>
    <w:pPr>
      <w:adjustRightInd w:val="0"/>
      <w:snapToGrid/>
      <w:spacing w:line="240" w:lineRule="atLeast"/>
      <w:ind w:firstLine="0"/>
      <w:jc w:val="left"/>
    </w:pPr>
    <w:rPr>
      <w:rFonts w:ascii="方正黑体_GBK" w:eastAsia="方正黑体_GBK"/>
    </w:rPr>
  </w:style>
  <w:style w:type="paragraph" w:customStyle="1" w:styleId="19">
    <w:name w:val="抄送栏"/>
    <w:basedOn w:val="1"/>
    <w:qFormat/>
    <w:uiPriority w:val="0"/>
    <w:pPr>
      <w:adjustRightInd w:val="0"/>
      <w:snapToGrid/>
      <w:spacing w:line="454" w:lineRule="atLeast"/>
      <w:ind w:left="1309" w:right="357" w:hanging="953"/>
    </w:pPr>
  </w:style>
  <w:style w:type="paragraph" w:customStyle="1" w:styleId="20">
    <w:name w:val="线型"/>
    <w:basedOn w:val="19"/>
    <w:qFormat/>
    <w:uiPriority w:val="0"/>
    <w:pPr>
      <w:spacing w:line="240" w:lineRule="auto"/>
      <w:ind w:left="0" w:firstLine="0"/>
      <w:jc w:val="center"/>
    </w:pPr>
    <w:rPr>
      <w:sz w:val="21"/>
    </w:rPr>
  </w:style>
  <w:style w:type="paragraph" w:customStyle="1" w:styleId="21">
    <w:name w:val="印发栏"/>
    <w:basedOn w:val="3"/>
    <w:qFormat/>
    <w:uiPriority w:val="0"/>
    <w:pPr>
      <w:tabs>
        <w:tab w:val="right" w:pos="8465"/>
      </w:tabs>
      <w:spacing w:line="454" w:lineRule="atLeast"/>
      <w:ind w:left="357" w:right="357"/>
    </w:pPr>
    <w:rPr>
      <w:spacing w:val="0"/>
    </w:rPr>
  </w:style>
  <w:style w:type="paragraph" w:customStyle="1" w:styleId="22">
    <w:name w:val="印数"/>
    <w:basedOn w:val="21"/>
    <w:qFormat/>
    <w:uiPriority w:val="0"/>
    <w:pPr>
      <w:spacing w:line="400" w:lineRule="atLeast"/>
      <w:jc w:val="right"/>
    </w:pPr>
  </w:style>
  <w:style w:type="paragraph" w:customStyle="1" w:styleId="23">
    <w:name w:val="文头"/>
    <w:basedOn w:val="1"/>
    <w:qFormat/>
    <w:uiPriority w:val="0"/>
    <w:pPr>
      <w:tabs>
        <w:tab w:val="left" w:pos="6663"/>
      </w:tabs>
      <w:spacing w:before="40" w:after="800" w:line="1640" w:lineRule="atLeast"/>
      <w:ind w:left="510" w:right="227" w:hanging="284"/>
      <w:jc w:val="distribute"/>
    </w:pPr>
    <w:rPr>
      <w:rFonts w:ascii="汉鼎简大宋" w:hAnsi="汉鼎简大宋" w:eastAsia="汉鼎简大宋"/>
      <w:b/>
      <w:color w:val="FF0000"/>
      <w:w w:val="50"/>
      <w:sz w:val="136"/>
    </w:rPr>
  </w:style>
  <w:style w:type="paragraph" w:customStyle="1" w:styleId="24">
    <w:name w:val="附件栏"/>
    <w:basedOn w:val="1"/>
    <w:qFormat/>
    <w:uiPriority w:val="0"/>
  </w:style>
  <w:style w:type="paragraph" w:customStyle="1" w:styleId="25">
    <w:name w:val="紧急程度"/>
    <w:basedOn w:val="17"/>
    <w:qFormat/>
    <w:uiPriority w:val="0"/>
    <w:pPr>
      <w:overflowPunct w:val="0"/>
    </w:pPr>
    <w:rPr>
      <w:sz w:val="32"/>
    </w:rPr>
  </w:style>
  <w:style w:type="paragraph" w:customStyle="1" w:styleId="26">
    <w:name w:val="样式 主题词 + 段后: 8.85 磅 行距: 固定值 26 磅"/>
    <w:basedOn w:val="1"/>
    <w:qFormat/>
    <w:uiPriority w:val="0"/>
    <w:pPr>
      <w:adjustRightInd w:val="0"/>
      <w:snapToGrid/>
      <w:spacing w:after="177" w:line="520" w:lineRule="exact"/>
      <w:ind w:firstLine="0"/>
      <w:jc w:val="left"/>
    </w:pPr>
    <w:rPr>
      <w:rFonts w:ascii="方正黑体_GBK" w:eastAsia="方正黑体_GBK" w:cs="宋体"/>
      <w:bCs/>
    </w:rPr>
  </w:style>
  <w:style w:type="character" w:customStyle="1" w:styleId="27">
    <w:name w:val="日期 字符"/>
    <w:basedOn w:val="9"/>
    <w:link w:val="4"/>
    <w:qFormat/>
    <w:uiPriority w:val="0"/>
    <w:rPr>
      <w:rFonts w:eastAsia="方正仿宋_GBK"/>
      <w:snapToGrid w:val="0"/>
      <w:sz w:val="32"/>
    </w:rPr>
  </w:style>
  <w:style w:type="character" w:customStyle="1" w:styleId="28">
    <w:name w:val="批注框文本 字符"/>
    <w:basedOn w:val="9"/>
    <w:link w:val="5"/>
    <w:qFormat/>
    <w:uiPriority w:val="0"/>
    <w:rPr>
      <w:rFonts w:eastAsia="方正仿宋_GBK"/>
      <w:snapToGrid w:val="0"/>
      <w:sz w:val="18"/>
      <w:szCs w:val="18"/>
    </w:rPr>
  </w:style>
  <w:style w:type="character" w:customStyle="1" w:styleId="29">
    <w:name w:val="Unresolved Mention"/>
    <w:basedOn w:val="9"/>
    <w:semiHidden/>
    <w:unhideWhenUsed/>
    <w:qFormat/>
    <w:uiPriority w:val="99"/>
    <w:rPr>
      <w:color w:val="605E5C"/>
      <w:shd w:val="clear" w:color="auto" w:fill="E1DFDD"/>
    </w:rPr>
  </w:style>
  <w:style w:type="character" w:customStyle="1" w:styleId="30">
    <w:name w:val="页脚 字符"/>
    <w:basedOn w:val="9"/>
    <w:link w:val="6"/>
    <w:qFormat/>
    <w:uiPriority w:val="99"/>
    <w:rPr>
      <w:rFonts w:eastAsia="方正仿宋_GBK"/>
      <w:snapToGrid w:val="0"/>
      <w:sz w:val="28"/>
    </w:rPr>
  </w:style>
  <w:style w:type="paragraph" w:styleId="3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xukr\Documents\&#25991;&#26723;2016.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GB.XSL" StyleName="GB7714"/>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D6E3671-AC71-44E1-A5A5-BC9B272BE5BB}">
  <ds:schemaRefs/>
</ds:datastoreItem>
</file>

<file path=docProps/app.xml><?xml version="1.0" encoding="utf-8"?>
<Properties xmlns="http://schemas.openxmlformats.org/officeDocument/2006/extended-properties" xmlns:vt="http://schemas.openxmlformats.org/officeDocument/2006/docPropsVTypes">
  <Template>文档2016</Template>
  <Company>wyk</Company>
  <Pages>5</Pages>
  <Words>347</Words>
  <Characters>1979</Characters>
  <Lines>16</Lines>
  <Paragraphs>4</Paragraphs>
  <TotalTime>89</TotalTime>
  <ScaleCrop>false</ScaleCrop>
  <LinksUpToDate>false</LinksUpToDate>
  <CharactersWithSpaces>2322</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2021-05-07T08:32:00Z</dcterms:created>
  <dc:creator>xukr</dc:creator>
  <cp:lastModifiedBy>邵文干</cp:lastModifiedBy>
  <cp:lastPrinted>2021-05-10T09:22:31Z</cp:lastPrinted>
  <dcterms:modified xsi:type="dcterms:W3CDTF">2021-05-11T01:03:15Z</dcterms:modified>
  <dc:title>苏政办发</dc:title>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49D81534AB2D463CAD28CE546150396C</vt:lpwstr>
  </property>
</Properties>
</file>